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1.93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su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Les déplacements aux nœuds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-4.633293557012257e-22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21/05/22 - 00:10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2022-05-20T22:07:41Z</dcterms:modified>
</cp:coreProperties>
</file>