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1.93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Les déplacements aux nœuds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-0.001110755294142236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-0.001110755294142236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1.780537807872832e-23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-0.001110755294142236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1.780537807872832e-23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-0.00031279755463478175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1.780537807872832e-23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-0.00031279755463478175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-2.8753349929071167e-21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24/05/22 - 23:34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2022-05-20T22:07:41Z</dcterms:modified>
</cp:coreProperties>
</file>