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200"/>
        <w:jc w:val="center"/>
        <w:rPr/>
      </w:pPr>
      <w:r>
        <w:rPr>
          <w:sz w:val="72"/>
          <w:szCs w:val="72"/>
        </w:rPr>
        <w:t>🧵</w:t>
      </w:r>
    </w:p>
    <w:p>
      <w:pPr>
        <w:pStyle w:val="Normal"/>
        <w:spacing w:before="0" w:after="100"/>
        <w:jc w:val="center"/>
        <w:rPr>
          <w:sz w:val="72"/>
          <w:szCs w:val="72"/>
        </w:rPr>
      </w:pPr>
      <w:r>
        <w:rPr>
          <w:rFonts w:eastAsia="Fraunces" w:cs="Fraunces" w:ascii="Fraunces" w:hAnsi="Fraunces"/>
          <w:b/>
          <w:bCs/>
          <w:color w:val="0F0E0A"/>
          <w:sz w:val="72"/>
          <w:szCs w:val="72"/>
        </w:rPr>
        <w:t>Les Tisserands</w:t>
      </w:r>
    </w:p>
    <w:p>
      <w:pPr>
        <w:pStyle w:val="Normal"/>
        <w:spacing w:before="0" w:after="80"/>
        <w:jc w:val="center"/>
        <w:rPr>
          <w:b/>
          <w:bCs/>
          <w:sz w:val="52"/>
          <w:szCs w:val="52"/>
        </w:rPr>
      </w:pPr>
      <w:r>
        <w:rPr>
          <w:rFonts w:eastAsia="DM Sans" w:cs="DM Sans"/>
          <w:b/>
          <w:bCs/>
          <w:i/>
          <w:iCs/>
          <w:color w:val="D4A017"/>
          <w:sz w:val="52"/>
          <w:szCs w:val="52"/>
        </w:rPr>
        <w:t>www.les-tisserands.org</w:t>
      </w:r>
    </w:p>
    <w:p>
      <w:pPr>
        <w:pStyle w:val="Normal"/>
        <w:spacing w:before="0" w:after="100"/>
        <w:rPr/>
      </w:pPr>
      <w:r>
        <w:rPr/>
      </w:r>
    </w:p>
    <w:p>
      <w:pPr>
        <w:pStyle w:val="Normal"/>
        <w:spacing w:before="0" w:after="60"/>
        <w:jc w:val="center"/>
        <w:rPr/>
      </w:pPr>
      <w:r>
        <w:rPr>
          <w:rFonts w:eastAsia="Fraunces" w:cs="Fraunces" w:ascii="Fraunces" w:hAnsi="Fraunces"/>
          <w:i/>
          <w:iCs/>
          <w:color w:val="666666"/>
          <w:sz w:val="30"/>
          <w:szCs w:val="30"/>
        </w:rPr>
        <w:t>La plateforme citoyenne d’aide aux réfugiés en France</w:t>
      </w:r>
    </w:p>
    <w:p>
      <w:pPr>
        <w:pStyle w:val="Normal"/>
        <w:spacing w:before="0" w:after="100"/>
        <w:rPr/>
      </w:pPr>
      <w:r>
        <w:rPr/>
      </w:r>
    </w:p>
    <w:p>
      <w:pPr>
        <w:pStyle w:val="Normal"/>
        <w:spacing w:before="0" w:after="100"/>
        <w:rPr/>
      </w:pPr>
      <w:r>
        <w:rPr/>
      </w:r>
    </w:p>
    <w:p>
      <w:pPr>
        <w:pStyle w:val="Normal"/>
        <w:spacing w:before="0" w:after="100"/>
        <w:rPr/>
      </w:pPr>
      <w:r>
        <w:rPr/>
      </w:r>
    </w:p>
    <w:p>
      <w:pPr>
        <w:pStyle w:val="Normal"/>
        <w:jc w:val="center"/>
        <w:rPr/>
      </w:pPr>
      <w:r>
        <w:rPr>
          <w:color w:val="D4A017"/>
          <w:sz w:val="28"/>
          <w:szCs w:val="28"/>
        </w:rPr>
        <w:t>──────────</w:t>
      </w:r>
    </w:p>
    <w:p>
      <w:pPr>
        <w:pStyle w:val="Normal"/>
        <w:spacing w:before="0" w:after="100"/>
        <w:rPr/>
      </w:pPr>
      <w:r>
        <w:rPr/>
      </w:r>
    </w:p>
    <w:p>
      <w:pPr>
        <w:pStyle w:val="Normal"/>
        <w:spacing w:before="0" w:after="100"/>
        <w:rPr/>
      </w:pPr>
      <w:r>
        <w:rPr/>
      </w:r>
    </w:p>
    <w:p>
      <w:pPr>
        <w:pStyle w:val="Normal"/>
        <w:spacing w:before="0" w:after="100"/>
        <w:jc w:val="center"/>
        <w:rPr/>
      </w:pPr>
      <w:r>
        <w:rPr>
          <w:rFonts w:eastAsia="DM Sans" w:cs="DM Sans"/>
          <w:b/>
          <w:bCs/>
          <w:color w:val="0F0E0A"/>
          <w:sz w:val="32"/>
          <w:szCs w:val="32"/>
        </w:rPr>
        <w:t>DOSSIER DE CANDIDATURE</w:t>
      </w:r>
    </w:p>
    <w:p>
      <w:pPr>
        <w:pStyle w:val="Normal"/>
        <w:spacing w:before="0" w:after="60"/>
        <w:jc w:val="center"/>
        <w:rPr/>
      </w:pPr>
      <w:r>
        <w:rPr>
          <w:rFonts w:eastAsia="DM Sans" w:cs="DM Sans"/>
          <w:color w:val="666666"/>
          <w:sz w:val="24"/>
          <w:szCs w:val="24"/>
        </w:rPr>
        <w:t>Appel à projets général — La Serre à Projets 2026</w:t>
      </w:r>
    </w:p>
    <w:p>
      <w:pPr>
        <w:pStyle w:val="Normal"/>
        <w:spacing w:before="0" w:after="60"/>
        <w:jc w:val="center"/>
        <w:rPr/>
      </w:pPr>
      <w:r>
        <w:rPr>
          <w:rFonts w:eastAsia="DM Sans" w:cs="DM Sans"/>
          <w:color w:val="666666"/>
          <w:sz w:val="24"/>
          <w:szCs w:val="24"/>
        </w:rPr>
        <w:t>France Active Lorraine</w:t>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sectPr>
          <w:type w:val="nextPage"/>
          <w:pgSz w:w="11906" w:h="16838"/>
          <w:pgMar w:left="1440" w:right="1440" w:gutter="0" w:header="0" w:top="1440" w:footer="0" w:bottom="1440"/>
          <w:pgNumType w:fmt="decimal"/>
          <w:formProt w:val="false"/>
          <w:textDirection w:val="lrTb"/>
          <w:docGrid w:type="default" w:linePitch="360" w:charSpace="4096"/>
        </w:sectPr>
        <w:pStyle w:val="Normal"/>
        <w:jc w:val="center"/>
        <w:rPr>
          <w:b/>
          <w:bCs/>
          <w:sz w:val="28"/>
          <w:szCs w:val="28"/>
        </w:rPr>
      </w:pPr>
      <w:r>
        <w:rPr>
          <w:rFonts w:eastAsia="DM Sans" w:cs="DM Sans"/>
          <w:b/>
          <w:bCs/>
          <w:color w:val="666666"/>
          <w:sz w:val="28"/>
          <w:szCs w:val="28"/>
        </w:rPr>
        <w:t>Nicolas Goarant — Février 2026</w:t>
      </w:r>
    </w:p>
    <w:p>
      <w:pPr>
        <w:pStyle w:val="Heading1"/>
        <w:spacing w:before="360" w:after="200"/>
        <w:rPr/>
      </w:pPr>
      <w:r>
        <w:rPr/>
        <w:t>1. Coordonnées du porteur</w:t>
      </w:r>
    </w:p>
    <w:tbl>
      <w:tblPr>
        <w:tblW w:w="9026" w:type="dxa"/>
        <w:jc w:val="left"/>
        <w:tblInd w:w="0" w:type="dxa"/>
        <w:tblLayout w:type="fixed"/>
        <w:tblCellMar>
          <w:top w:w="80" w:type="dxa"/>
          <w:left w:w="120" w:type="dxa"/>
          <w:bottom w:w="80" w:type="dxa"/>
          <w:right w:w="120" w:type="dxa"/>
        </w:tblCellMar>
      </w:tblPr>
      <w:tblGrid>
        <w:gridCol w:w="2799"/>
        <w:gridCol w:w="6226"/>
      </w:tblGrid>
      <w:tr>
        <w:trPr/>
        <w:tc>
          <w:tcPr>
            <w:tcW w:w="2799" w:type="dxa"/>
            <w:tcBorders>
              <w:top w:val="single" w:sz="2" w:space="0" w:color="DDDDDD"/>
              <w:left w:val="single" w:sz="2" w:space="0" w:color="DDDDDD"/>
              <w:bottom w:val="single" w:sz="2" w:space="0" w:color="DDDDDD"/>
              <w:right w:val="single" w:sz="2" w:space="0" w:color="DDDDDD"/>
            </w:tcBorders>
            <w:shd w:fill="FFF8E7" w:val="clear"/>
          </w:tcPr>
          <w:p>
            <w:pPr>
              <w:pStyle w:val="Normal"/>
              <w:rPr/>
            </w:pPr>
            <w:r>
              <w:rPr>
                <w:rFonts w:eastAsia="DM Sans" w:cs="DM Sans"/>
                <w:b/>
                <w:bCs/>
                <w:sz w:val="22"/>
                <w:szCs w:val="22"/>
              </w:rPr>
              <w:t>Nom</w:t>
            </w:r>
          </w:p>
        </w:tc>
        <w:tc>
          <w:tcPr>
            <w:tcW w:w="6226" w:type="dxa"/>
            <w:tcBorders>
              <w:top w:val="single" w:sz="2" w:space="0" w:color="DDDDDD"/>
              <w:left w:val="single" w:sz="2" w:space="0" w:color="DDDDDD"/>
              <w:bottom w:val="single" w:sz="2" w:space="0" w:color="DDDDDD"/>
              <w:right w:val="single" w:sz="2" w:space="0" w:color="DDDDDD"/>
            </w:tcBorders>
          </w:tcPr>
          <w:p>
            <w:pPr>
              <w:pStyle w:val="Normal"/>
              <w:rPr/>
            </w:pPr>
            <w:r>
              <w:rPr>
                <w:rFonts w:eastAsia="DM Sans" w:cs="DM Sans"/>
                <w:sz w:val="22"/>
                <w:szCs w:val="22"/>
              </w:rPr>
              <w:t>Nicolas Goarant</w:t>
            </w:r>
          </w:p>
        </w:tc>
      </w:tr>
      <w:tr>
        <w:trPr/>
        <w:tc>
          <w:tcPr>
            <w:tcW w:w="2799" w:type="dxa"/>
            <w:tcBorders>
              <w:top w:val="single" w:sz="2" w:space="0" w:color="DDDDDD"/>
              <w:left w:val="single" w:sz="2" w:space="0" w:color="DDDDDD"/>
              <w:bottom w:val="single" w:sz="2" w:space="0" w:color="DDDDDD"/>
              <w:right w:val="single" w:sz="2" w:space="0" w:color="DDDDDD"/>
            </w:tcBorders>
            <w:shd w:fill="FFF8E7" w:val="clear"/>
          </w:tcPr>
          <w:p>
            <w:pPr>
              <w:pStyle w:val="Normal"/>
              <w:rPr/>
            </w:pPr>
            <w:r>
              <w:rPr>
                <w:rFonts w:eastAsia="DM Sans" w:cs="DM Sans"/>
                <w:b/>
                <w:bCs/>
                <w:sz w:val="22"/>
                <w:szCs w:val="22"/>
              </w:rPr>
              <w:t>Statut</w:t>
            </w:r>
          </w:p>
        </w:tc>
        <w:tc>
          <w:tcPr>
            <w:tcW w:w="6226" w:type="dxa"/>
            <w:tcBorders>
              <w:top w:val="single" w:sz="2" w:space="0" w:color="DDDDDD"/>
              <w:left w:val="single" w:sz="2" w:space="0" w:color="DDDDDD"/>
              <w:bottom w:val="single" w:sz="2" w:space="0" w:color="DDDDDD"/>
              <w:right w:val="single" w:sz="2" w:space="0" w:color="DDDDDD"/>
            </w:tcBorders>
          </w:tcPr>
          <w:p>
            <w:pPr>
              <w:pStyle w:val="Normal"/>
              <w:rPr/>
            </w:pPr>
            <w:r>
              <w:rPr>
                <w:rFonts w:eastAsia="DM Sans" w:cs="DM Sans"/>
                <w:sz w:val="22"/>
                <w:szCs w:val="22"/>
              </w:rPr>
              <w:t>Entrepreneur individuel (porteur de projet associatif)</w:t>
            </w:r>
          </w:p>
        </w:tc>
      </w:tr>
      <w:tr>
        <w:trPr/>
        <w:tc>
          <w:tcPr>
            <w:tcW w:w="2799" w:type="dxa"/>
            <w:tcBorders>
              <w:top w:val="single" w:sz="2" w:space="0" w:color="DDDDDD"/>
              <w:left w:val="single" w:sz="2" w:space="0" w:color="DDDDDD"/>
              <w:bottom w:val="single" w:sz="2" w:space="0" w:color="DDDDDD"/>
              <w:right w:val="single" w:sz="2" w:space="0" w:color="DDDDDD"/>
            </w:tcBorders>
            <w:shd w:fill="FFF8E7" w:val="clear"/>
          </w:tcPr>
          <w:p>
            <w:pPr>
              <w:pStyle w:val="Normal"/>
              <w:rPr/>
            </w:pPr>
            <w:r>
              <w:rPr>
                <w:rFonts w:eastAsia="DM Sans" w:cs="DM Sans"/>
                <w:b/>
                <w:bCs/>
                <w:sz w:val="22"/>
                <w:szCs w:val="22"/>
              </w:rPr>
              <w:t>Adresse</w:t>
            </w:r>
          </w:p>
        </w:tc>
        <w:tc>
          <w:tcPr>
            <w:tcW w:w="6226" w:type="dxa"/>
            <w:tcBorders>
              <w:top w:val="single" w:sz="2" w:space="0" w:color="DDDDDD"/>
              <w:left w:val="single" w:sz="2" w:space="0" w:color="DDDDDD"/>
              <w:bottom w:val="single" w:sz="2" w:space="0" w:color="DDDDDD"/>
              <w:right w:val="single" w:sz="2" w:space="0" w:color="DDDDDD"/>
            </w:tcBorders>
          </w:tcPr>
          <w:p>
            <w:pPr>
              <w:pStyle w:val="Normal"/>
              <w:rPr/>
            </w:pPr>
            <w:r>
              <w:rPr>
                <w:rFonts w:eastAsia="DM Sans" w:cs="DM Sans"/>
                <w:sz w:val="22"/>
                <w:szCs w:val="22"/>
              </w:rPr>
              <w:t>Nancy (54000)</w:t>
            </w:r>
          </w:p>
        </w:tc>
      </w:tr>
      <w:tr>
        <w:trPr/>
        <w:tc>
          <w:tcPr>
            <w:tcW w:w="2799" w:type="dxa"/>
            <w:tcBorders>
              <w:top w:val="single" w:sz="2" w:space="0" w:color="DDDDDD"/>
              <w:left w:val="single" w:sz="2" w:space="0" w:color="DDDDDD"/>
              <w:bottom w:val="single" w:sz="2" w:space="0" w:color="DDDDDD"/>
              <w:right w:val="single" w:sz="2" w:space="0" w:color="DDDDDD"/>
            </w:tcBorders>
            <w:shd w:fill="FFF8E7" w:val="clear"/>
          </w:tcPr>
          <w:p>
            <w:pPr>
              <w:pStyle w:val="Normal"/>
              <w:rPr/>
            </w:pPr>
            <w:r>
              <w:rPr>
                <w:rFonts w:eastAsia="DM Sans" w:cs="DM Sans"/>
                <w:b/>
                <w:bCs/>
                <w:sz w:val="22"/>
                <w:szCs w:val="22"/>
              </w:rPr>
              <w:t>Téléphone</w:t>
            </w:r>
          </w:p>
        </w:tc>
        <w:tc>
          <w:tcPr>
            <w:tcW w:w="6226" w:type="dxa"/>
            <w:tcBorders>
              <w:top w:val="single" w:sz="2" w:space="0" w:color="DDDDDD"/>
              <w:left w:val="single" w:sz="2" w:space="0" w:color="DDDDDD"/>
              <w:bottom w:val="single" w:sz="2" w:space="0" w:color="DDDDDD"/>
              <w:right w:val="single" w:sz="2" w:space="0" w:color="DDDDDD"/>
            </w:tcBorders>
          </w:tcPr>
          <w:p>
            <w:pPr>
              <w:pStyle w:val="Normal"/>
              <w:rPr/>
            </w:pPr>
            <w:r>
              <w:rPr>
                <w:rFonts w:eastAsia="DM Sans" w:cs="DM Sans"/>
                <w:sz w:val="22"/>
                <w:szCs w:val="22"/>
              </w:rPr>
              <w:t>06 67 06 31 79</w:t>
            </w:r>
          </w:p>
        </w:tc>
      </w:tr>
      <w:tr>
        <w:trPr/>
        <w:tc>
          <w:tcPr>
            <w:tcW w:w="2799" w:type="dxa"/>
            <w:tcBorders>
              <w:top w:val="single" w:sz="2" w:space="0" w:color="DDDDDD"/>
              <w:left w:val="single" w:sz="2" w:space="0" w:color="DDDDDD"/>
              <w:bottom w:val="single" w:sz="2" w:space="0" w:color="DDDDDD"/>
              <w:right w:val="single" w:sz="2" w:space="0" w:color="DDDDDD"/>
            </w:tcBorders>
            <w:shd w:fill="FFF8E7" w:val="clear"/>
          </w:tcPr>
          <w:p>
            <w:pPr>
              <w:pStyle w:val="Normal"/>
              <w:rPr/>
            </w:pPr>
            <w:r>
              <w:rPr>
                <w:rFonts w:eastAsia="DM Sans" w:cs="DM Sans"/>
                <w:b/>
                <w:bCs/>
                <w:sz w:val="22"/>
                <w:szCs w:val="22"/>
              </w:rPr>
              <w:t>E-mail</w:t>
            </w:r>
          </w:p>
        </w:tc>
        <w:tc>
          <w:tcPr>
            <w:tcW w:w="6226" w:type="dxa"/>
            <w:tcBorders>
              <w:top w:val="single" w:sz="2" w:space="0" w:color="DDDDDD"/>
              <w:left w:val="single" w:sz="2" w:space="0" w:color="DDDDDD"/>
              <w:bottom w:val="single" w:sz="2" w:space="0" w:color="DDDDDD"/>
              <w:right w:val="single" w:sz="2" w:space="0" w:color="DDDDDD"/>
            </w:tcBorders>
          </w:tcPr>
          <w:p>
            <w:pPr>
              <w:pStyle w:val="Normal"/>
              <w:rPr/>
            </w:pPr>
            <w:hyperlink r:id="rId2">
              <w:r>
                <w:rPr>
                  <w:rStyle w:val="Hyperlink"/>
                  <w:rFonts w:eastAsia="DM Sans" w:cs="DM Sans"/>
                  <w:sz w:val="22"/>
                  <w:szCs w:val="22"/>
                </w:rPr>
                <w:t>Nicolas.Goarant@hotmail.fr</w:t>
              </w:r>
            </w:hyperlink>
            <w:r>
              <w:rPr>
                <w:rFonts w:eastAsia="DM Sans" w:cs="DM Sans"/>
                <w:sz w:val="22"/>
                <w:szCs w:val="22"/>
              </w:rPr>
              <w:t xml:space="preserve"> </w:t>
            </w:r>
          </w:p>
        </w:tc>
      </w:tr>
      <w:tr>
        <w:trPr/>
        <w:tc>
          <w:tcPr>
            <w:tcW w:w="2799" w:type="dxa"/>
            <w:tcBorders>
              <w:top w:val="single" w:sz="2" w:space="0" w:color="DDDDDD"/>
              <w:left w:val="single" w:sz="2" w:space="0" w:color="DDDDDD"/>
              <w:bottom w:val="single" w:sz="2" w:space="0" w:color="DDDDDD"/>
              <w:right w:val="single" w:sz="2" w:space="0" w:color="DDDDDD"/>
            </w:tcBorders>
            <w:shd w:fill="FFF8E7" w:val="clear"/>
          </w:tcPr>
          <w:p>
            <w:pPr>
              <w:pStyle w:val="Normal"/>
              <w:rPr/>
            </w:pPr>
            <w:r>
              <w:rPr>
                <w:rFonts w:eastAsia="DM Sans" w:cs="DM Sans"/>
                <w:b/>
                <w:bCs/>
                <w:sz w:val="22"/>
                <w:szCs w:val="22"/>
              </w:rPr>
              <w:t>Site web</w:t>
            </w:r>
          </w:p>
        </w:tc>
        <w:tc>
          <w:tcPr>
            <w:tcW w:w="6226" w:type="dxa"/>
            <w:tcBorders>
              <w:top w:val="single" w:sz="2" w:space="0" w:color="DDDDDD"/>
              <w:left w:val="single" w:sz="2" w:space="0" w:color="DDDDDD"/>
              <w:bottom w:val="single" w:sz="2" w:space="0" w:color="DDDDDD"/>
              <w:right w:val="single" w:sz="2" w:space="0" w:color="DDDDDD"/>
            </w:tcBorders>
          </w:tcPr>
          <w:p>
            <w:pPr>
              <w:pStyle w:val="Normal"/>
              <w:rPr>
                <w:b/>
                <w:bCs/>
                <w:color w:val="D4A017"/>
                <w:sz w:val="24"/>
                <w:szCs w:val="24"/>
              </w:rPr>
            </w:pPr>
            <w:r>
              <w:rPr>
                <w:rFonts w:eastAsia="DM Sans" w:cs="DM Sans"/>
                <w:b/>
                <w:bCs/>
                <w:color w:val="D4A017"/>
                <w:sz w:val="24"/>
                <w:szCs w:val="24"/>
              </w:rPr>
              <w:t>www.les-tisserands.org</w:t>
            </w:r>
          </w:p>
        </w:tc>
      </w:tr>
      <w:tr>
        <w:trPr/>
        <w:tc>
          <w:tcPr>
            <w:tcW w:w="2799" w:type="dxa"/>
            <w:tcBorders>
              <w:top w:val="single" w:sz="2" w:space="0" w:color="DDDDDD"/>
              <w:left w:val="single" w:sz="2" w:space="0" w:color="DDDDDD"/>
              <w:bottom w:val="single" w:sz="2" w:space="0" w:color="DDDDDD"/>
              <w:right w:val="single" w:sz="2" w:space="0" w:color="DDDDDD"/>
            </w:tcBorders>
            <w:shd w:fill="FFF8E7" w:val="clear"/>
          </w:tcPr>
          <w:p>
            <w:pPr>
              <w:pStyle w:val="Normal"/>
              <w:rPr/>
            </w:pPr>
            <w:r>
              <w:rPr>
                <w:rFonts w:eastAsia="DM Sans" w:cs="DM Sans"/>
                <w:b/>
                <w:bCs/>
                <w:sz w:val="22"/>
                <w:szCs w:val="22"/>
              </w:rPr>
              <w:t>Code source</w:t>
            </w:r>
          </w:p>
        </w:tc>
        <w:tc>
          <w:tcPr>
            <w:tcW w:w="6226" w:type="dxa"/>
            <w:tcBorders>
              <w:top w:val="single" w:sz="2" w:space="0" w:color="DDDDDD"/>
              <w:left w:val="single" w:sz="2" w:space="0" w:color="DDDDDD"/>
              <w:bottom w:val="single" w:sz="2" w:space="0" w:color="DDDDDD"/>
              <w:right w:val="single" w:sz="2" w:space="0" w:color="DDDDDD"/>
            </w:tcBorders>
          </w:tcPr>
          <w:p>
            <w:pPr>
              <w:pStyle w:val="Normal"/>
              <w:rPr/>
            </w:pPr>
            <w:r>
              <w:rPr>
                <w:rFonts w:eastAsia="DM Sans" w:cs="DM Sans"/>
                <w:sz w:val="22"/>
                <w:szCs w:val="22"/>
              </w:rPr>
              <w:t>github.com/nicolasgoarant/ruche (open source)</w:t>
            </w:r>
          </w:p>
        </w:tc>
      </w:tr>
    </w:tbl>
    <w:p>
      <w:pPr>
        <w:pStyle w:val="Normal"/>
        <w:spacing w:before="0" w:after="100"/>
        <w:rPr/>
      </w:pPr>
      <w:r>
        <w:rPr/>
      </w:r>
    </w:p>
    <w:p>
      <w:pPr>
        <w:pStyle w:val="Heading1"/>
        <w:spacing w:before="360" w:after="200"/>
        <w:rPr/>
      </w:pPr>
      <w:r>
        <w:rPr/>
        <w:t>2. Nom du projet</w:t>
      </w:r>
    </w:p>
    <w:p>
      <w:pPr>
        <w:pStyle w:val="Normal"/>
        <w:spacing w:lineRule="exact" w:line="320" w:before="0" w:after="160"/>
        <w:jc w:val="both"/>
        <w:rPr/>
      </w:pPr>
      <w:r>
        <w:rPr>
          <w:rFonts w:eastAsia="DM Sans" w:cs="DM Sans"/>
          <w:sz w:val="22"/>
          <w:szCs w:val="22"/>
        </w:rPr>
        <w:t>Les Tisserands — la plateforme citoyenne d’aide aux réfugiés en France.</w:t>
      </w:r>
    </w:p>
    <w:p>
      <w:pPr>
        <w:pStyle w:val="Normal"/>
        <w:spacing w:lineRule="exact" w:line="320" w:before="0" w:after="160"/>
        <w:jc w:val="both"/>
        <w:rPr/>
      </w:pPr>
      <w:r>
        <w:rPr>
          <w:rFonts w:eastAsia="DM Sans" w:cs="DM Sans"/>
          <w:sz w:val="22"/>
          <w:szCs w:val="22"/>
        </w:rPr>
        <w:t xml:space="preserve">Le nom évoque le tissage de liens entre personnes réfugiées et citoyens français, fil par fil, dans un mouvement patient et collectif. </w:t>
      </w:r>
      <w:r>
        <w:rPr>
          <w:rFonts w:eastAsia="DM Sans" w:cs="DM Sans"/>
          <w:b/>
          <w:bCs/>
          <w:sz w:val="22"/>
          <w:szCs w:val="22"/>
        </w:rPr>
        <w:t>Les Tisserands est une plateforme web multilingue qui réunit en un seul lieu quatre besoins fondamentaux des personnes réfugiées : apprendre le français, comprendre ses droits, créer son activité et rencontrer des gens.</w:t>
      </w:r>
    </w:p>
    <w:p>
      <w:pPr>
        <w:pStyle w:val="Normal"/>
        <w:spacing w:before="0" w:after="100"/>
        <w:rPr/>
      </w:pPr>
      <w:r>
        <w:rPr/>
      </w:r>
    </w:p>
    <w:p>
      <w:pPr>
        <w:pStyle w:val="Heading1"/>
        <w:spacing w:before="360" w:after="200"/>
        <w:rPr/>
      </w:pPr>
      <w:r>
        <w:rPr/>
        <w:t>3. Idée</w:t>
      </w:r>
    </w:p>
    <w:p>
      <w:pPr>
        <w:pStyle w:val="Normal"/>
        <w:spacing w:lineRule="exact" w:line="320" w:before="0" w:after="160"/>
        <w:jc w:val="both"/>
        <w:rPr/>
      </w:pPr>
      <w:r>
        <w:rPr>
          <w:rFonts w:eastAsia="DM Sans" w:cs="DM Sans"/>
          <w:sz w:val="22"/>
          <w:szCs w:val="22"/>
        </w:rPr>
        <w:t xml:space="preserve">Le constat : en France, les personnes réfugiées font face à un parcours administratif d’une complexité </w:t>
      </w:r>
      <w:r>
        <w:rPr>
          <w:rFonts w:eastAsia="DM Sans" w:cs="DM Sans"/>
          <w:sz w:val="22"/>
          <w:szCs w:val="22"/>
        </w:rPr>
        <w:t xml:space="preserve">souvent </w:t>
      </w:r>
      <w:r>
        <w:rPr>
          <w:rFonts w:eastAsia="DM Sans" w:cs="DM Sans"/>
          <w:sz w:val="22"/>
          <w:szCs w:val="22"/>
        </w:rPr>
        <w:t xml:space="preserve">décourageante. Les informations existent, mais sont disséminées entre des dizaines de sites institutionnels, souvent rédigées dans un français juridique </w:t>
      </w:r>
      <w:r>
        <w:rPr>
          <w:rFonts w:eastAsia="DM Sans" w:cs="DM Sans"/>
          <w:sz w:val="22"/>
          <w:szCs w:val="22"/>
        </w:rPr>
        <w:t>peu accessible</w:t>
      </w:r>
      <w:r>
        <w:rPr>
          <w:rFonts w:eastAsia="DM Sans" w:cs="DM Sans"/>
          <w:sz w:val="22"/>
          <w:szCs w:val="22"/>
        </w:rPr>
        <w:t>.</w:t>
      </w:r>
    </w:p>
    <w:p>
      <w:pPr>
        <w:pStyle w:val="Normal"/>
        <w:spacing w:lineRule="exact" w:line="320" w:before="0" w:after="160"/>
        <w:jc w:val="both"/>
        <w:rPr/>
      </w:pPr>
      <w:r>
        <w:rPr>
          <w:rFonts w:eastAsia="DM Sans" w:cs="DM Sans"/>
          <w:sz w:val="22"/>
          <w:szCs w:val="22"/>
        </w:rPr>
        <w:t>Les Tisserands propose une réponse intégrée et humaine à ce problème. La plateforme combine :</w:t>
      </w:r>
    </w:p>
    <w:p>
      <w:pPr>
        <w:pStyle w:val="ListParagraph"/>
        <w:numPr>
          <w:ilvl w:val="0"/>
          <w:numId w:val="3"/>
        </w:numPr>
        <w:spacing w:lineRule="exact" w:line="300" w:before="0" w:after="120"/>
        <w:rPr/>
      </w:pPr>
      <w:r>
        <w:rPr>
          <w:rFonts w:eastAsia="DM Sans" w:cs="DM Sans"/>
          <w:sz w:val="22"/>
          <w:szCs w:val="22"/>
        </w:rPr>
        <w:t>Un assistant juridique propulsé par l’intelligence artificielle, capable de répondre en langage courant, dans 7 langues, aux questions concrètes des réfugiés (droits au séjour, asile, regroupement familial, accès aux soins…).</w:t>
      </w:r>
    </w:p>
    <w:p>
      <w:pPr>
        <w:pStyle w:val="ListParagraph"/>
        <w:numPr>
          <w:ilvl w:val="0"/>
          <w:numId w:val="1"/>
        </w:numPr>
        <w:spacing w:lineRule="exact" w:line="300" w:before="0" w:after="120"/>
        <w:rPr/>
      </w:pPr>
      <w:r>
        <w:rPr>
          <w:rFonts w:eastAsia="DM Sans" w:cs="DM Sans"/>
          <w:sz w:val="22"/>
          <w:szCs w:val="22"/>
        </w:rPr>
        <w:t>Un agrégateur géolocalisé des ressources du territoire : cours de français, ateliers d’intégration, dispositifs d’aide à la création d’entreprise, événements de convivialité.</w:t>
      </w:r>
    </w:p>
    <w:p>
      <w:pPr>
        <w:pStyle w:val="ListParagraph"/>
        <w:numPr>
          <w:ilvl w:val="0"/>
          <w:numId w:val="1"/>
        </w:numPr>
        <w:spacing w:lineRule="exact" w:line="300" w:before="0" w:after="120"/>
        <w:rPr/>
      </w:pPr>
      <w:r>
        <w:rPr>
          <w:rFonts w:eastAsia="DM Sans" w:cs="DM Sans"/>
          <w:sz w:val="22"/>
          <w:szCs w:val="22"/>
        </w:rPr>
        <w:t>Un espace de partage communautaire où citoyens et associations publient des informations utiles, des événements, des opportunités.</w:t>
      </w:r>
    </w:p>
    <w:p>
      <w:pPr>
        <w:pStyle w:val="ListParagraph"/>
        <w:numPr>
          <w:ilvl w:val="0"/>
          <w:numId w:val="1"/>
        </w:numPr>
        <w:spacing w:lineRule="exact" w:line="300" w:before="0" w:after="120"/>
        <w:rPr/>
      </w:pPr>
      <w:r>
        <w:rPr>
          <w:rFonts w:eastAsia="DM Sans" w:cs="DM Sans"/>
          <w:sz w:val="22"/>
          <w:szCs w:val="22"/>
        </w:rPr>
        <w:t>Des portraits de parcours inspirants (« Trajectoires »), qui donnent la parole aux réfugiés eux-mêmes et rendent visibles des réussites concrètes.</w:t>
      </w:r>
    </w:p>
    <w:p>
      <w:pPr>
        <w:pStyle w:val="Normal"/>
        <w:spacing w:before="0" w:after="100"/>
        <w:rPr/>
      </w:pPr>
      <w:r>
        <w:rPr/>
      </w:r>
    </w:p>
    <w:p>
      <w:pPr>
        <w:pStyle w:val="Normal"/>
        <w:spacing w:lineRule="exact" w:line="320" w:before="0" w:after="160"/>
        <w:jc w:val="both"/>
        <w:rPr/>
      </w:pPr>
      <w:r>
        <w:rPr>
          <w:rFonts w:eastAsia="DM Sans" w:cs="DM Sans"/>
          <w:sz w:val="22"/>
          <w:szCs w:val="22"/>
        </w:rPr>
        <w:t>L’idée directrice est de dépasser l’approche purement administrative de l’intégration pour proposer une vision politique au sens noble : faire de l’accueil des réfugiés un projet de société partagé, où chacun — réfugié, citoyen, association, entreprise — peut agir concrètement à son échelle.</w:t>
      </w:r>
    </w:p>
    <w:p>
      <w:pPr>
        <w:pStyle w:val="Normal"/>
        <w:spacing w:before="0" w:after="100"/>
        <w:rPr/>
      </w:pPr>
      <w:r>
        <w:rPr/>
      </w:r>
    </w:p>
    <w:p>
      <w:pPr>
        <w:pStyle w:val="Heading2"/>
        <w:spacing w:before="360" w:after="200"/>
        <w:rPr/>
      </w:pPr>
      <w:r>
        <w:rPr/>
        <w:t>Positionnement : ce que Les Tisserands apporte de différent</w:t>
      </w:r>
    </w:p>
    <w:p>
      <w:pPr>
        <w:pStyle w:val="Normal"/>
        <w:spacing w:lineRule="exact" w:line="320" w:before="0" w:after="160"/>
        <w:jc w:val="both"/>
        <w:rPr/>
      </w:pPr>
      <w:r>
        <w:rPr>
          <w:rFonts w:eastAsia="DM Sans" w:cs="DM Sans"/>
          <w:sz w:val="22"/>
          <w:szCs w:val="22"/>
        </w:rPr>
        <w:t>Il existe déjà une plateforme publique dédiée aux réfugiés : Réfugiés.info, le service public d’information du gouvernement. C’est un outil précieux, mais qui présente des limites structurelles :</w:t>
      </w:r>
    </w:p>
    <w:p>
      <w:pPr>
        <w:pStyle w:val="ListParagraph"/>
        <w:numPr>
          <w:ilvl w:val="0"/>
          <w:numId w:val="1"/>
        </w:numPr>
        <w:spacing w:lineRule="exact" w:line="300" w:before="0" w:after="120"/>
        <w:rPr/>
      </w:pPr>
      <w:r>
        <w:rPr>
          <w:rFonts w:eastAsia="DM Sans" w:cs="DM Sans"/>
          <w:sz w:val="22"/>
          <w:szCs w:val="22"/>
        </w:rPr>
        <w:t xml:space="preserve">Une architecture documentaire profonde (sous-dossiers, sous-sous-dossiers) qui </w:t>
      </w:r>
      <w:r>
        <w:rPr>
          <w:rFonts w:eastAsia="DM Sans" w:cs="DM Sans"/>
          <w:sz w:val="22"/>
          <w:szCs w:val="22"/>
        </w:rPr>
        <w:t>peut noyer</w:t>
      </w:r>
      <w:r>
        <w:rPr>
          <w:rFonts w:eastAsia="DM Sans" w:cs="DM Sans"/>
          <w:sz w:val="22"/>
          <w:szCs w:val="22"/>
        </w:rPr>
        <w:t xml:space="preserve"> l’utilisateur dans la masse d’information au lieu de répondre à sa question.</w:t>
      </w:r>
    </w:p>
    <w:p>
      <w:pPr>
        <w:pStyle w:val="ListParagraph"/>
        <w:numPr>
          <w:ilvl w:val="0"/>
          <w:numId w:val="1"/>
        </w:numPr>
        <w:spacing w:lineRule="exact" w:line="300" w:before="0" w:after="120"/>
        <w:rPr/>
      </w:pPr>
      <w:r>
        <w:rPr>
          <w:rFonts w:eastAsia="DM Sans" w:cs="DM Sans"/>
          <w:sz w:val="22"/>
          <w:szCs w:val="22"/>
        </w:rPr>
        <w:t>Un ton administratif et institutionnel, sans dimension humaine ni communautaire.</w:t>
      </w:r>
    </w:p>
    <w:p>
      <w:pPr>
        <w:pStyle w:val="ListParagraph"/>
        <w:numPr>
          <w:ilvl w:val="0"/>
          <w:numId w:val="1"/>
        </w:numPr>
        <w:spacing w:lineRule="exact" w:line="300" w:before="0" w:after="120"/>
        <w:rPr/>
      </w:pPr>
      <w:r>
        <w:rPr>
          <w:rFonts w:eastAsia="DM Sans" w:cs="DM Sans"/>
          <w:sz w:val="22"/>
          <w:szCs w:val="22"/>
        </w:rPr>
        <w:t>L’absence d’intelligence artificielle : l’utilisateur doit chercher lui-même l’information, naviguer dans des arborescences complexes, alors qu’il pourrait simplement poser sa question.</w:t>
      </w:r>
    </w:p>
    <w:p>
      <w:pPr>
        <w:pStyle w:val="ListParagraph"/>
        <w:numPr>
          <w:ilvl w:val="0"/>
          <w:numId w:val="1"/>
        </w:numPr>
        <w:spacing w:lineRule="exact" w:line="300" w:before="0" w:after="120"/>
        <w:rPr/>
      </w:pPr>
      <w:r>
        <w:rPr>
          <w:rFonts w:eastAsia="DM Sans" w:cs="DM Sans"/>
          <w:sz w:val="22"/>
          <w:szCs w:val="22"/>
        </w:rPr>
        <w:t>Peu ou pas de contenus liés à l’entrepreneuriat, à la vie sociale et culturelle, ou aux parcours d’intégration réussis.</w:t>
      </w:r>
    </w:p>
    <w:p>
      <w:pPr>
        <w:pStyle w:val="Normal"/>
        <w:spacing w:before="0" w:after="100"/>
        <w:rPr/>
      </w:pPr>
      <w:r>
        <w:rPr/>
      </w:r>
    </w:p>
    <w:p>
      <w:pPr>
        <w:pStyle w:val="Normal"/>
        <w:spacing w:lineRule="exact" w:line="320" w:before="0" w:after="160"/>
        <w:jc w:val="both"/>
        <w:rPr/>
      </w:pPr>
      <w:r>
        <w:rPr>
          <w:rFonts w:eastAsia="DM Sans" w:cs="DM Sans"/>
          <w:sz w:val="22"/>
          <w:szCs w:val="22"/>
        </w:rPr>
        <w:t>Les Tisserands ne se substitue pas à Réfugiés.info mais en est le complément citoyen : là où le service public informe, Les Tisserands accompagne, connecte et inspire. L’assistant juridique ne remplace pas un avocat : il démystifie le droit et oriente vers les bonnes démarches, dans la langue de l’utilisateur.</w:t>
      </w:r>
    </w:p>
    <w:p>
      <w:pPr>
        <w:pStyle w:val="Normal"/>
        <w:rPr/>
      </w:pPr>
      <w:r>
        <w:rPr/>
      </w:r>
      <w:r>
        <w:br w:type="page"/>
      </w:r>
    </w:p>
    <w:p>
      <w:pPr>
        <w:pStyle w:val="Heading1"/>
        <w:spacing w:before="0" w:after="200"/>
        <w:rPr/>
      </w:pPr>
      <w:r>
        <w:rPr/>
        <w:t>4. Présentation du porteur</w:t>
      </w:r>
    </w:p>
    <w:p>
      <w:pPr>
        <w:pStyle w:val="Heading2"/>
        <w:spacing w:before="360" w:after="200"/>
        <w:rPr/>
      </w:pPr>
      <w:r>
        <w:rPr/>
        <w:t>Parcours et compétences</w:t>
      </w:r>
    </w:p>
    <w:p>
      <w:pPr>
        <w:pStyle w:val="Normal"/>
        <w:spacing w:lineRule="exact" w:line="320" w:before="0" w:after="160"/>
        <w:jc w:val="both"/>
        <w:rPr/>
      </w:pPr>
      <w:r>
        <w:drawing>
          <wp:anchor behindDoc="0" distT="0" distB="0" distL="0" distR="0" simplePos="0" locked="0" layoutInCell="0" allowOverlap="1" relativeHeight="2">
            <wp:simplePos x="0" y="0"/>
            <wp:positionH relativeFrom="column">
              <wp:posOffset>35560</wp:posOffset>
            </wp:positionH>
            <wp:positionV relativeFrom="paragraph">
              <wp:posOffset>-85725</wp:posOffset>
            </wp:positionV>
            <wp:extent cx="1468755" cy="146875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1468755" cy="1468755"/>
                    </a:xfrm>
                    <a:prstGeom prst="rect">
                      <a:avLst/>
                    </a:prstGeom>
                  </pic:spPr>
                </pic:pic>
              </a:graphicData>
            </a:graphic>
          </wp:anchor>
        </w:drawing>
      </w:r>
      <w:r>
        <w:rPr>
          <w:rFonts w:eastAsia="DM Sans" w:cs="DM Sans"/>
          <w:sz w:val="22"/>
          <w:szCs w:val="22"/>
        </w:rPr>
        <w:t xml:space="preserve">Nicolas Goarant est un professionnel de la communication publique, engagé dans les projets à impact social. Depuis 2020, il </w:t>
      </w:r>
      <w:r>
        <w:rPr>
          <w:rFonts w:eastAsia="DM Sans" w:cs="DM Sans"/>
          <w:sz w:val="22"/>
          <w:szCs w:val="22"/>
        </w:rPr>
        <w:t>travaille</w:t>
      </w:r>
      <w:r>
        <w:rPr>
          <w:rFonts w:eastAsia="DM Sans" w:cs="DM Sans"/>
          <w:sz w:val="22"/>
          <w:szCs w:val="22"/>
        </w:rPr>
        <w:t xml:space="preserve"> au cabinet du Maire de Nancy et Président du Grand Nancy, où il a développé une connaissance des politiques territoriales, acteurs associatifs locaux et enjeux d’inclusion.</w:t>
      </w:r>
    </w:p>
    <w:p>
      <w:pPr>
        <w:pStyle w:val="Normal"/>
        <w:spacing w:lineRule="exact" w:line="320" w:before="0" w:after="160"/>
        <w:jc w:val="both"/>
        <w:rPr/>
      </w:pPr>
      <w:r>
        <w:rPr>
          <w:rFonts w:eastAsia="DM Sans" w:cs="DM Sans"/>
          <w:sz w:val="22"/>
          <w:szCs w:val="22"/>
        </w:rPr>
        <w:t>En parallèle, il conduit plusieurs projets entrepreneuriaux à dimension sociale :</w:t>
      </w:r>
    </w:p>
    <w:p>
      <w:pPr>
        <w:pStyle w:val="ListParagraph"/>
        <w:numPr>
          <w:ilvl w:val="0"/>
          <w:numId w:val="1"/>
        </w:numPr>
        <w:spacing w:lineRule="exact" w:line="300" w:before="0" w:after="120"/>
        <w:rPr/>
      </w:pPr>
      <w:r>
        <w:rPr>
          <w:rFonts w:eastAsia="DM Sans" w:cs="DM Sans"/>
          <w:b/>
          <w:bCs/>
          <w:sz w:val="22"/>
          <w:szCs w:val="22"/>
        </w:rPr>
        <w:t xml:space="preserve">Sleep Activists </w:t>
      </w:r>
      <w:r>
        <w:rPr>
          <w:rFonts w:eastAsia="DM Sans" w:cs="DM Sans"/>
          <w:sz w:val="22"/>
          <w:szCs w:val="22"/>
        </w:rPr>
        <w:t>— média et plaidoyer sur le sommeil comme enjeu politique et de santé publique. Auteur de « Le Sommeil Malmné » (Éditions de l’Aube, 2020).</w:t>
      </w:r>
    </w:p>
    <w:p>
      <w:pPr>
        <w:pStyle w:val="ListParagraph"/>
        <w:numPr>
          <w:ilvl w:val="0"/>
          <w:numId w:val="1"/>
        </w:numPr>
        <w:spacing w:lineRule="exact" w:line="300" w:before="0" w:after="120"/>
        <w:rPr/>
      </w:pPr>
      <w:r>
        <w:rPr>
          <w:rFonts w:eastAsia="DM Sans" w:cs="DM Sans"/>
          <w:b/>
          <w:bCs/>
          <w:sz w:val="22"/>
          <w:szCs w:val="22"/>
        </w:rPr>
        <w:t xml:space="preserve">Déclic </w:t>
      </w:r>
      <w:r>
        <w:rPr>
          <w:rFonts w:eastAsia="DM Sans" w:cs="DM Sans"/>
          <w:sz w:val="22"/>
          <w:szCs w:val="22"/>
        </w:rPr>
        <w:t xml:space="preserve">— plateforme civique d’engagement local (Nancy/Paris), pour laquelle il a </w:t>
      </w:r>
      <w:r>
        <w:rPr>
          <w:rFonts w:eastAsia="DM Sans" w:cs="DM Sans"/>
          <w:sz w:val="22"/>
          <w:szCs w:val="22"/>
        </w:rPr>
        <w:t>également</w:t>
      </w:r>
      <w:r>
        <w:rPr>
          <w:rFonts w:eastAsia="DM Sans" w:cs="DM Sans"/>
          <w:sz w:val="22"/>
          <w:szCs w:val="22"/>
        </w:rPr>
        <w:t xml:space="preserve"> candidaté à La Serre à Projets.</w:t>
      </w:r>
    </w:p>
    <w:p>
      <w:pPr>
        <w:pStyle w:val="ListParagraph"/>
        <w:numPr>
          <w:ilvl w:val="0"/>
          <w:numId w:val="1"/>
        </w:numPr>
        <w:spacing w:lineRule="exact" w:line="300" w:before="0" w:after="120"/>
        <w:rPr/>
      </w:pPr>
      <w:r>
        <w:rPr>
          <w:rFonts w:eastAsia="DM Sans" w:cs="DM Sans"/>
          <w:b/>
          <w:bCs/>
          <w:sz w:val="22"/>
          <w:szCs w:val="22"/>
        </w:rPr>
        <w:t xml:space="preserve">SalsaSpot </w:t>
      </w:r>
      <w:r>
        <w:rPr>
          <w:rFonts w:eastAsia="DM Sans" w:cs="DM Sans"/>
          <w:sz w:val="22"/>
          <w:szCs w:val="22"/>
        </w:rPr>
        <w:t>— agrégateur d’événements de danses latines, en production.</w:t>
      </w:r>
    </w:p>
    <w:p>
      <w:pPr>
        <w:pStyle w:val="Normal"/>
        <w:spacing w:before="0" w:after="100"/>
        <w:rPr/>
      </w:pPr>
      <w:r>
        <w:rPr/>
      </w:r>
    </w:p>
    <w:p>
      <w:pPr>
        <w:pStyle w:val="Normal"/>
        <w:spacing w:lineRule="exact" w:line="320" w:before="0" w:after="160"/>
        <w:jc w:val="both"/>
        <w:rPr/>
      </w:pPr>
      <w:r>
        <w:rPr>
          <w:rFonts w:eastAsia="DM Sans" w:cs="DM Sans"/>
          <w:sz w:val="22"/>
          <w:szCs w:val="22"/>
        </w:rPr>
        <w:t>Il maîtrise Ruby on Rails, l’intégration d’APIs d’IA, la gestion de projets numériques.</w:t>
      </w:r>
    </w:p>
    <w:p>
      <w:pPr>
        <w:pStyle w:val="Heading2"/>
        <w:spacing w:before="360" w:after="200"/>
        <w:rPr/>
      </w:pPr>
      <w:r>
        <w:rPr/>
        <w:t>Motivations</w:t>
      </w:r>
    </w:p>
    <w:p>
      <w:pPr>
        <w:pStyle w:val="Normal"/>
        <w:spacing w:lineRule="exact" w:line="320" w:before="0" w:after="160"/>
        <w:jc w:val="both"/>
        <w:rPr/>
      </w:pPr>
      <w:r>
        <w:rPr>
          <w:rFonts w:eastAsia="DM Sans" w:cs="DM Sans"/>
          <w:i/>
          <w:iCs/>
          <w:sz w:val="22"/>
          <w:szCs w:val="22"/>
        </w:rPr>
        <w:t xml:space="preserve">La question de l’accueil des réfugiés est à la croisée de mes engagements : le numérique au service de l’intérêt général, la création de communs, la conviction que l’intégration est un enrichissement mutuel et non un fardeau. </w:t>
      </w:r>
      <w:r>
        <w:rPr>
          <w:rFonts w:eastAsia="DM Sans" w:cs="DM Sans"/>
          <w:i/>
          <w:iCs/>
          <w:sz w:val="22"/>
          <w:szCs w:val="22"/>
        </w:rPr>
        <w:t xml:space="preserve">J’ai pu mesurer </w:t>
      </w:r>
      <w:r>
        <w:rPr>
          <w:rFonts w:eastAsia="DM Sans" w:cs="DM Sans"/>
          <w:i/>
          <w:iCs/>
          <w:sz w:val="22"/>
          <w:szCs w:val="22"/>
        </w:rPr>
        <w:t xml:space="preserve">à quel point les personnes réfugiées peinent à naviguer dans un système conçu pour des francophones maîtrisant les codes administratifs. Les Tisserands est né de cette frustration : celle de voir des gens compétents, motivés, prêts à contribuer, mais </w:t>
      </w:r>
      <w:r>
        <w:rPr>
          <w:rFonts w:eastAsia="DM Sans" w:cs="DM Sans"/>
          <w:i/>
          <w:iCs/>
          <w:sz w:val="22"/>
          <w:szCs w:val="22"/>
        </w:rPr>
        <w:t xml:space="preserve">souvent </w:t>
      </w:r>
      <w:r>
        <w:rPr>
          <w:rFonts w:eastAsia="DM Sans" w:cs="DM Sans"/>
          <w:i/>
          <w:iCs/>
          <w:sz w:val="22"/>
          <w:szCs w:val="22"/>
        </w:rPr>
        <w:t>bloqués par l’opacité des procédures.</w:t>
      </w:r>
    </w:p>
    <w:p>
      <w:pPr>
        <w:pStyle w:val="Heading2"/>
        <w:spacing w:before="360" w:after="200"/>
        <w:rPr/>
      </w:pPr>
      <w:r>
        <w:rPr/>
        <w:t>Cohérence porteur / projet</w:t>
      </w:r>
    </w:p>
    <w:p>
      <w:pPr>
        <w:pStyle w:val="Normal"/>
        <w:spacing w:lineRule="exact" w:line="320" w:before="0" w:after="160"/>
        <w:jc w:val="both"/>
        <w:rPr/>
      </w:pPr>
      <w:r>
        <w:rPr>
          <w:rFonts w:eastAsia="DM Sans" w:cs="DM Sans"/>
          <w:sz w:val="22"/>
          <w:szCs w:val="22"/>
        </w:rPr>
        <w:t>Le projet Les Tisserands est cohérent avec le parcours du porteur à plusieurs égards :</w:t>
      </w:r>
    </w:p>
    <w:p>
      <w:pPr>
        <w:pStyle w:val="ListParagraph"/>
        <w:numPr>
          <w:ilvl w:val="0"/>
          <w:numId w:val="1"/>
        </w:numPr>
        <w:spacing w:lineRule="exact" w:line="300" w:before="0" w:after="120"/>
        <w:rPr/>
      </w:pPr>
      <w:r>
        <w:rPr>
          <w:rFonts w:eastAsia="DM Sans" w:cs="DM Sans"/>
          <w:sz w:val="22"/>
          <w:szCs w:val="22"/>
        </w:rPr>
        <w:t>Connaissance du tissu associatif et institutionnel nancéien,</w:t>
      </w:r>
    </w:p>
    <w:p>
      <w:pPr>
        <w:pStyle w:val="ListParagraph"/>
        <w:numPr>
          <w:ilvl w:val="0"/>
          <w:numId w:val="1"/>
        </w:numPr>
        <w:spacing w:lineRule="exact" w:line="300" w:before="0" w:after="120"/>
        <w:rPr/>
      </w:pPr>
      <w:r>
        <w:rPr>
          <w:rFonts w:eastAsia="DM Sans" w:cs="DM Sans"/>
          <w:sz w:val="22"/>
          <w:szCs w:val="22"/>
        </w:rPr>
        <w:t>Compétences techniques en développement web, suffisantes pour avoir conçu et déployé seul la plateforme (en production sur www.les-tisserands.org).</w:t>
      </w:r>
    </w:p>
    <w:p>
      <w:pPr>
        <w:pStyle w:val="ListParagraph"/>
        <w:numPr>
          <w:ilvl w:val="0"/>
          <w:numId w:val="1"/>
        </w:numPr>
        <w:spacing w:lineRule="exact" w:line="300" w:before="0" w:after="120"/>
        <w:rPr/>
      </w:pPr>
      <w:r>
        <w:rPr>
          <w:rFonts w:eastAsia="DM Sans" w:cs="DM Sans"/>
          <w:sz w:val="22"/>
          <w:szCs w:val="22"/>
        </w:rPr>
        <w:t>Expérience de l’écriture et de la communication publique, essentielle pour un projet multilingue et multiculturel.</w:t>
      </w:r>
    </w:p>
    <w:p>
      <w:pPr>
        <w:pStyle w:val="ListParagraph"/>
        <w:numPr>
          <w:ilvl w:val="0"/>
          <w:numId w:val="1"/>
        </w:numPr>
        <w:spacing w:lineRule="exact" w:line="300" w:before="0" w:after="120"/>
        <w:rPr/>
      </w:pPr>
      <w:r>
        <w:rPr>
          <w:rFonts w:eastAsia="DM Sans" w:cs="DM Sans"/>
          <w:sz w:val="22"/>
          <w:szCs w:val="22"/>
        </w:rPr>
        <w:t>Formation en cours en Data Science, applicable à l’amélioration de l’assistant IA et à l’analyse des usages.</w:t>
      </w:r>
      <w:r>
        <w:br w:type="page"/>
      </w:r>
    </w:p>
    <w:p>
      <w:pPr>
        <w:pStyle w:val="Heading1"/>
        <w:spacing w:before="0" w:after="200"/>
        <w:rPr/>
      </w:pPr>
      <w:r>
        <w:rPr/>
        <w:t>5. Partenaires du projet</w:t>
      </w:r>
    </w:p>
    <w:p>
      <w:pPr>
        <w:pStyle w:val="Normal"/>
        <w:spacing w:lineRule="exact" w:line="320" w:before="0" w:after="160"/>
        <w:jc w:val="both"/>
        <w:rPr/>
      </w:pPr>
      <w:r>
        <w:rPr>
          <w:rFonts w:eastAsia="DM Sans" w:cs="DM Sans"/>
          <w:sz w:val="22"/>
          <w:szCs w:val="22"/>
        </w:rPr>
        <w:t>Le projet en est à un stade de prototypage avancé, avec une plateforme fonctionnelle déployée. Les partenariats sont à construire dans le cadre de l’accompagnement de la Serre à Projets. Voici les pistes identifiées :</w:t>
      </w:r>
    </w:p>
    <w:p>
      <w:pPr>
        <w:pStyle w:val="Normal"/>
        <w:spacing w:before="0" w:after="100"/>
        <w:rPr/>
      </w:pPr>
      <w:r>
        <w:rPr/>
      </w:r>
    </w:p>
    <w:p>
      <w:pPr>
        <w:pStyle w:val="Heading3"/>
        <w:spacing w:before="360" w:after="200"/>
        <w:rPr>
          <w:color w:val="D4A017"/>
        </w:rPr>
      </w:pPr>
      <w:r>
        <w:rPr>
          <w:color w:val="D4A017"/>
        </w:rPr>
        <w:t>Partenaires institutionnels visés</w:t>
      </w:r>
    </w:p>
    <w:p>
      <w:pPr>
        <w:pStyle w:val="ListParagraph"/>
        <w:numPr>
          <w:ilvl w:val="0"/>
          <w:numId w:val="1"/>
        </w:numPr>
        <w:spacing w:lineRule="exact" w:line="300" w:before="0" w:after="120"/>
        <w:rPr/>
      </w:pPr>
      <w:r>
        <w:rPr>
          <w:rFonts w:eastAsia="DM Sans" w:cs="DM Sans"/>
          <w:sz w:val="22"/>
          <w:szCs w:val="22"/>
        </w:rPr>
        <w:t>Métropole du Grand Nancy — délégation à l’insertion et à la cohésion sociale.</w:t>
      </w:r>
    </w:p>
    <w:p>
      <w:pPr>
        <w:pStyle w:val="ListParagraph"/>
        <w:numPr>
          <w:ilvl w:val="0"/>
          <w:numId w:val="1"/>
        </w:numPr>
        <w:spacing w:lineRule="exact" w:line="300" w:before="0" w:after="120"/>
        <w:rPr/>
      </w:pPr>
      <w:r>
        <w:rPr>
          <w:rFonts w:eastAsia="DM Sans" w:cs="DM Sans"/>
          <w:sz w:val="22"/>
          <w:szCs w:val="22"/>
        </w:rPr>
        <w:t>Préfecture de Meurthe-et-Moselle — service intégration des réfugiés.</w:t>
      </w:r>
    </w:p>
    <w:p>
      <w:pPr>
        <w:pStyle w:val="ListParagraph"/>
        <w:numPr>
          <w:ilvl w:val="0"/>
          <w:numId w:val="1"/>
        </w:numPr>
        <w:spacing w:lineRule="exact" w:line="300" w:before="0" w:after="120"/>
        <w:rPr/>
      </w:pPr>
      <w:r>
        <w:rPr>
          <w:rFonts w:eastAsia="DM Sans" w:cs="DM Sans"/>
          <w:sz w:val="22"/>
          <w:szCs w:val="22"/>
        </w:rPr>
        <w:t>OFII (Office Français de l’Immigration et de l’Intégration) — délégation territoriale.</w:t>
      </w:r>
    </w:p>
    <w:p>
      <w:pPr>
        <w:pStyle w:val="ListParagraph"/>
        <w:numPr>
          <w:ilvl w:val="0"/>
          <w:numId w:val="1"/>
        </w:numPr>
        <w:spacing w:lineRule="exact" w:line="300" w:before="0" w:after="120"/>
        <w:rPr/>
      </w:pPr>
      <w:r>
        <w:rPr>
          <w:rFonts w:eastAsia="DM Sans" w:cs="DM Sans"/>
          <w:sz w:val="22"/>
          <w:szCs w:val="22"/>
        </w:rPr>
        <w:t xml:space="preserve">Ministère de l’Intérieur, en particulier la responsable du site Refugiees.info </w:t>
      </w:r>
    </w:p>
    <w:p>
      <w:pPr>
        <w:pStyle w:val="ListParagraph"/>
        <w:numPr>
          <w:ilvl w:val="0"/>
          <w:numId w:val="1"/>
        </w:numPr>
        <w:spacing w:lineRule="exact" w:line="300" w:before="0" w:after="120"/>
        <w:rPr/>
      </w:pPr>
      <w:r>
        <w:rPr>
          <w:rFonts w:eastAsia="DM Sans" w:cs="DM Sans"/>
          <w:sz w:val="22"/>
          <w:szCs w:val="22"/>
        </w:rPr>
        <w:t xml:space="preserve">Entreprises voulant témoigner de leur sensibilité sur le sujet de l’accueil et de l’intégration des réfugiés ; </w:t>
      </w:r>
    </w:p>
    <w:p>
      <w:pPr>
        <w:pStyle w:val="ListParagraph"/>
        <w:numPr>
          <w:ilvl w:val="0"/>
          <w:numId w:val="1"/>
        </w:numPr>
        <w:spacing w:lineRule="exact" w:line="300" w:before="0" w:after="120"/>
        <w:rPr/>
      </w:pPr>
      <w:r>
        <w:rPr>
          <w:rFonts w:eastAsia="DM Sans" w:cs="DM Sans"/>
          <w:sz w:val="22"/>
          <w:szCs w:val="22"/>
        </w:rPr>
        <w:t xml:space="preserve">Toute structure intéressée. </w:t>
      </w:r>
    </w:p>
    <w:p>
      <w:pPr>
        <w:pStyle w:val="Normal"/>
        <w:spacing w:before="0" w:after="100"/>
        <w:rPr/>
      </w:pPr>
      <w:r>
        <w:rPr/>
      </w:r>
    </w:p>
    <w:p>
      <w:pPr>
        <w:pStyle w:val="Heading3"/>
        <w:spacing w:before="360" w:after="200"/>
        <w:rPr>
          <w:color w:val="D4A017"/>
        </w:rPr>
      </w:pPr>
      <w:r>
        <w:rPr>
          <w:color w:val="D4A017"/>
        </w:rPr>
        <w:t>Partenaires associatifs visés</w:t>
      </w:r>
    </w:p>
    <w:p>
      <w:pPr>
        <w:pStyle w:val="ListParagraph"/>
        <w:numPr>
          <w:ilvl w:val="0"/>
          <w:numId w:val="1"/>
        </w:numPr>
        <w:spacing w:lineRule="exact" w:line="300" w:before="0" w:after="120"/>
        <w:rPr/>
      </w:pPr>
      <w:r>
        <w:rPr>
          <w:rFonts w:eastAsia="DM Sans" w:cs="DM Sans"/>
          <w:sz w:val="22"/>
          <w:szCs w:val="22"/>
        </w:rPr>
        <w:t>Forum Réfugiés — Cosi (présent en Meurthe-et-Moselle).</w:t>
      </w:r>
    </w:p>
    <w:p>
      <w:pPr>
        <w:pStyle w:val="ListParagraph"/>
        <w:numPr>
          <w:ilvl w:val="0"/>
          <w:numId w:val="1"/>
        </w:numPr>
        <w:spacing w:lineRule="exact" w:line="300" w:before="0" w:after="120"/>
        <w:rPr/>
      </w:pPr>
      <w:r>
        <w:rPr>
          <w:rFonts w:eastAsia="DM Sans" w:cs="DM Sans"/>
          <w:sz w:val="22"/>
          <w:szCs w:val="22"/>
        </w:rPr>
        <w:t>Croix-Rouge française — délégation de Nancy (déjà référencée dans les partages de la plateforme).</w:t>
      </w:r>
    </w:p>
    <w:p>
      <w:pPr>
        <w:pStyle w:val="ListParagraph"/>
        <w:numPr>
          <w:ilvl w:val="0"/>
          <w:numId w:val="1"/>
        </w:numPr>
        <w:spacing w:lineRule="exact" w:line="300" w:before="0" w:after="120"/>
        <w:rPr/>
      </w:pPr>
      <w:r>
        <w:rPr>
          <w:rFonts w:eastAsia="DM Sans" w:cs="DM Sans"/>
          <w:sz w:val="22"/>
          <w:szCs w:val="22"/>
        </w:rPr>
        <w:t>Associations de cours de FLE locales (ASAL, Apprentis d’Auteuil…).</w:t>
      </w:r>
    </w:p>
    <w:p>
      <w:pPr>
        <w:pStyle w:val="ListParagraph"/>
        <w:numPr>
          <w:ilvl w:val="0"/>
          <w:numId w:val="1"/>
        </w:numPr>
        <w:spacing w:lineRule="exact" w:line="300" w:before="0" w:after="120"/>
        <w:rPr/>
      </w:pPr>
      <w:r>
        <w:rPr>
          <w:rFonts w:eastAsia="DM Sans" w:cs="DM Sans"/>
          <w:sz w:val="22"/>
          <w:szCs w:val="22"/>
        </w:rPr>
        <w:t>Réseau des épiceries solidaires et cafés associatifs nancéiens.</w:t>
      </w:r>
    </w:p>
    <w:p>
      <w:pPr>
        <w:pStyle w:val="ListParagraph"/>
        <w:numPr>
          <w:ilvl w:val="0"/>
          <w:numId w:val="1"/>
        </w:numPr>
        <w:spacing w:lineRule="exact" w:line="300" w:before="0" w:after="120"/>
        <w:rPr/>
      </w:pPr>
      <w:r>
        <w:rPr>
          <w:rFonts w:eastAsia="DM Sans" w:cs="DM Sans"/>
          <w:sz w:val="22"/>
          <w:szCs w:val="22"/>
        </w:rPr>
        <w:t xml:space="preserve">Toute structure intéressée. </w:t>
      </w:r>
    </w:p>
    <w:p>
      <w:pPr>
        <w:pStyle w:val="Normal"/>
        <w:spacing w:before="0" w:after="100"/>
        <w:rPr/>
      </w:pPr>
      <w:r>
        <w:rPr/>
      </w:r>
    </w:p>
    <w:p>
      <w:pPr>
        <w:pStyle w:val="Heading3"/>
        <w:spacing w:before="360" w:after="200"/>
        <w:rPr>
          <w:color w:val="D4A017"/>
        </w:rPr>
      </w:pPr>
      <w:r>
        <w:rPr>
          <w:color w:val="D4A017"/>
        </w:rPr>
        <w:t>Partenaires techniques</w:t>
      </w:r>
    </w:p>
    <w:p>
      <w:pPr>
        <w:pStyle w:val="ListParagraph"/>
        <w:numPr>
          <w:ilvl w:val="0"/>
          <w:numId w:val="1"/>
        </w:numPr>
        <w:spacing w:lineRule="exact" w:line="300" w:before="0" w:after="120"/>
        <w:rPr/>
      </w:pPr>
      <w:r>
        <w:rPr>
          <w:rFonts w:eastAsia="DM Sans" w:cs="DM Sans"/>
          <w:sz w:val="22"/>
          <w:szCs w:val="22"/>
        </w:rPr>
        <w:t>Anthropic — fournisseur de l’API d’intelligence artificielle (Claude) utilisée par l’assistant juridique.</w:t>
      </w:r>
    </w:p>
    <w:p>
      <w:pPr>
        <w:pStyle w:val="ListParagraph"/>
        <w:numPr>
          <w:ilvl w:val="0"/>
          <w:numId w:val="1"/>
        </w:numPr>
        <w:spacing w:lineRule="exact" w:line="300" w:before="0" w:after="120"/>
        <w:rPr/>
      </w:pPr>
      <w:r>
        <w:rPr>
          <w:rFonts w:eastAsia="DM Sans" w:cs="DM Sans"/>
          <w:sz w:val="22"/>
          <w:szCs w:val="22"/>
        </w:rPr>
        <w:t>Le Wagon Nancy — école de code, réseau d’alumni développeurs mobilisables pour le projet open source.</w:t>
      </w:r>
    </w:p>
    <w:p>
      <w:pPr>
        <w:pStyle w:val="ListParagraph"/>
        <w:numPr>
          <w:ilvl w:val="0"/>
          <w:numId w:val="1"/>
        </w:numPr>
        <w:spacing w:lineRule="exact" w:line="300" w:before="0" w:after="120"/>
        <w:rPr/>
      </w:pPr>
      <w:r>
        <w:rPr>
          <w:rFonts w:eastAsia="DM Sans" w:cs="DM Sans"/>
          <w:sz w:val="22"/>
          <w:szCs w:val="22"/>
        </w:rPr>
        <w:t>Université de Lorraine — département de linguistique et traductologie, pour la validation des traductions.</w:t>
      </w:r>
    </w:p>
    <w:p>
      <w:pPr>
        <w:pStyle w:val="Normal"/>
        <w:spacing w:before="0" w:after="100"/>
        <w:rPr/>
      </w:pPr>
      <w:r>
        <w:rPr/>
      </w:r>
    </w:p>
    <w:p>
      <w:pPr>
        <w:pStyle w:val="Heading1"/>
        <w:spacing w:before="360" w:after="200"/>
        <w:rPr/>
      </w:pPr>
      <w:r>
        <w:rPr/>
        <w:t>6. Ressources mobilisables</w:t>
      </w:r>
    </w:p>
    <w:p>
      <w:pPr>
        <w:pStyle w:val="Heading3"/>
        <w:spacing w:before="360" w:after="200"/>
        <w:rPr/>
      </w:pPr>
      <w:r>
        <w:rPr>
          <w:color w:val="D4A017"/>
        </w:rPr>
        <w:t>Ressources techniques (acquises)</w:t>
      </w:r>
    </w:p>
    <w:p>
      <w:pPr>
        <w:pStyle w:val="ListParagraph"/>
        <w:numPr>
          <w:ilvl w:val="0"/>
          <w:numId w:val="1"/>
        </w:numPr>
        <w:spacing w:lineRule="exact" w:line="300" w:before="0" w:after="120"/>
        <w:rPr/>
      </w:pPr>
      <w:r>
        <w:rPr>
          <w:rFonts w:eastAsia="DM Sans" w:cs="DM Sans"/>
          <w:sz w:val="22"/>
          <w:szCs w:val="22"/>
        </w:rPr>
        <w:t>Plateforme web déployée et fonctionnelle : Ruby on Rails 7.2, hébergée sur Heroku, domaine configuré (les-tisserands.org).</w:t>
      </w:r>
    </w:p>
    <w:p>
      <w:pPr>
        <w:pStyle w:val="ListParagraph"/>
        <w:numPr>
          <w:ilvl w:val="0"/>
          <w:numId w:val="1"/>
        </w:numPr>
        <w:spacing w:lineRule="exact" w:line="300" w:before="0" w:after="120"/>
        <w:rPr/>
      </w:pPr>
      <w:r>
        <w:rPr>
          <w:rFonts w:eastAsia="DM Sans" w:cs="DM Sans"/>
          <w:sz w:val="22"/>
          <w:szCs w:val="22"/>
        </w:rPr>
        <w:t>Assistant juridique IA intégré, utilisant l’API Claude (Anthropic).</w:t>
      </w:r>
    </w:p>
    <w:p>
      <w:pPr>
        <w:pStyle w:val="ListParagraph"/>
        <w:numPr>
          <w:ilvl w:val="0"/>
          <w:numId w:val="1"/>
        </w:numPr>
        <w:spacing w:lineRule="exact" w:line="300" w:before="0" w:after="120"/>
        <w:rPr/>
      </w:pPr>
      <w:r>
        <w:rPr>
          <w:rFonts w:eastAsia="DM Sans" w:cs="DM Sans"/>
          <w:sz w:val="22"/>
          <w:szCs w:val="22"/>
        </w:rPr>
        <w:t>Internationalisation complète en 7 langues : français, anglais, arabe, ukrainien, dari, espagnol, allemand.</w:t>
      </w:r>
    </w:p>
    <w:p>
      <w:pPr>
        <w:pStyle w:val="ListParagraph"/>
        <w:numPr>
          <w:ilvl w:val="0"/>
          <w:numId w:val="1"/>
        </w:numPr>
        <w:spacing w:lineRule="exact" w:line="300" w:before="0" w:after="120"/>
        <w:rPr/>
      </w:pPr>
      <w:r>
        <w:rPr>
          <w:rFonts w:eastAsia="DM Sans" w:cs="DM Sans"/>
          <w:sz w:val="22"/>
          <w:szCs w:val="22"/>
        </w:rPr>
        <w:t>Système de contributions communautaires avec géolocalisation (Leaflet/OpenStreetMap).</w:t>
      </w:r>
    </w:p>
    <w:p>
      <w:pPr>
        <w:pStyle w:val="ListParagraph"/>
        <w:numPr>
          <w:ilvl w:val="0"/>
          <w:numId w:val="1"/>
        </w:numPr>
        <w:spacing w:lineRule="exact" w:line="300" w:before="0" w:after="120"/>
        <w:rPr/>
      </w:pPr>
      <w:r>
        <w:rPr>
          <w:rFonts w:eastAsia="DM Sans" w:cs="DM Sans"/>
          <w:sz w:val="22"/>
          <w:szCs w:val="22"/>
        </w:rPr>
        <w:t>Code source open source sur GitHub.</w:t>
      </w:r>
    </w:p>
    <w:p>
      <w:pPr>
        <w:pStyle w:val="Normal"/>
        <w:spacing w:before="0" w:after="100"/>
        <w:rPr/>
      </w:pPr>
      <w:r>
        <w:rPr/>
      </w:r>
    </w:p>
    <w:p>
      <w:pPr>
        <w:pStyle w:val="Heading3"/>
        <w:spacing w:before="360" w:after="200"/>
        <w:rPr>
          <w:color w:val="D4A017"/>
        </w:rPr>
      </w:pPr>
      <w:r>
        <w:rPr>
          <w:color w:val="D4A017"/>
        </w:rPr>
        <w:t>Ressources humaines</w:t>
      </w:r>
    </w:p>
    <w:p>
      <w:pPr>
        <w:pStyle w:val="ListParagraph"/>
        <w:numPr>
          <w:ilvl w:val="0"/>
          <w:numId w:val="1"/>
        </w:numPr>
        <w:spacing w:lineRule="exact" w:line="300" w:before="0" w:after="120"/>
        <w:rPr/>
      </w:pPr>
      <w:r>
        <w:rPr>
          <w:rFonts w:eastAsia="DM Sans" w:cs="DM Sans"/>
          <w:sz w:val="22"/>
          <w:szCs w:val="22"/>
        </w:rPr>
        <w:t>Porteur à temps plein dès mars 2026 (fin de contrat au cabinet du Maire).</w:t>
      </w:r>
    </w:p>
    <w:p>
      <w:pPr>
        <w:pStyle w:val="ListParagraph"/>
        <w:numPr>
          <w:ilvl w:val="0"/>
          <w:numId w:val="1"/>
        </w:numPr>
        <w:spacing w:lineRule="exact" w:line="300" w:before="0" w:after="120"/>
        <w:rPr/>
      </w:pPr>
      <w:r>
        <w:rPr>
          <w:rFonts w:eastAsia="DM Sans" w:cs="DM Sans"/>
          <w:sz w:val="22"/>
          <w:szCs w:val="22"/>
        </w:rPr>
        <w:t>Réseau d’alumni du Wagon mobilisable pour contributions ponctuelles.</w:t>
      </w:r>
    </w:p>
    <w:p>
      <w:pPr>
        <w:pStyle w:val="ListParagraph"/>
        <w:numPr>
          <w:ilvl w:val="0"/>
          <w:numId w:val="1"/>
        </w:numPr>
        <w:spacing w:lineRule="exact" w:line="300" w:before="0" w:after="120"/>
        <w:rPr/>
      </w:pPr>
      <w:r>
        <w:rPr>
          <w:rFonts w:eastAsia="DM Sans" w:cs="DM Sans"/>
          <w:sz w:val="22"/>
          <w:szCs w:val="22"/>
        </w:rPr>
        <w:t>Contacts avec des traducteurs bénévoles (communautés ukrainienne et afghane de Nancy).</w:t>
      </w:r>
    </w:p>
    <w:p>
      <w:pPr>
        <w:pStyle w:val="Normal"/>
        <w:spacing w:before="0" w:after="100"/>
        <w:rPr/>
      </w:pPr>
      <w:r>
        <w:rPr/>
      </w:r>
    </w:p>
    <w:p>
      <w:pPr>
        <w:pStyle w:val="Heading3"/>
        <w:spacing w:before="360" w:after="200"/>
        <w:rPr>
          <w:color w:val="D4A017"/>
        </w:rPr>
      </w:pPr>
      <w:r>
        <w:rPr>
          <w:color w:val="D4A017"/>
        </w:rPr>
        <w:t>Ressources financières</w:t>
      </w:r>
    </w:p>
    <w:p>
      <w:pPr>
        <w:pStyle w:val="ListParagraph"/>
        <w:numPr>
          <w:ilvl w:val="0"/>
          <w:numId w:val="1"/>
        </w:numPr>
        <w:spacing w:lineRule="exact" w:line="300" w:before="0" w:after="120"/>
        <w:rPr/>
      </w:pPr>
      <w:r>
        <w:rPr>
          <w:rFonts w:eastAsia="DM Sans" w:cs="DM Sans"/>
          <w:sz w:val="22"/>
          <w:szCs w:val="22"/>
        </w:rPr>
        <w:t>Coûts de fonctionnement actuels très faibles : hébergement Heroku (~30€/mois), API Anthropic (~50€/mois), domaine (~10€/an).</w:t>
      </w:r>
    </w:p>
    <w:p>
      <w:pPr>
        <w:pStyle w:val="ListParagraph"/>
        <w:numPr>
          <w:ilvl w:val="0"/>
          <w:numId w:val="1"/>
        </w:numPr>
        <w:spacing w:lineRule="exact" w:line="300" w:before="0" w:after="120"/>
        <w:rPr/>
      </w:pPr>
      <w:r>
        <w:rPr>
          <w:rFonts w:eastAsia="DM Sans" w:cs="DM Sans"/>
          <w:sz w:val="22"/>
          <w:szCs w:val="22"/>
        </w:rPr>
        <w:t>Fonds propres du porteur pour la phase d’amorçage.</w:t>
      </w:r>
    </w:p>
    <w:p>
      <w:pPr>
        <w:pStyle w:val="ListParagraph"/>
        <w:numPr>
          <w:ilvl w:val="0"/>
          <w:numId w:val="1"/>
        </w:numPr>
        <w:spacing w:lineRule="exact" w:line="300" w:before="0" w:after="120"/>
        <w:rPr/>
      </w:pPr>
      <w:r>
        <w:rPr>
          <w:rFonts w:eastAsia="DM Sans" w:cs="DM Sans"/>
          <w:sz w:val="22"/>
          <w:szCs w:val="22"/>
        </w:rPr>
        <w:t>Éligibilité r</w:t>
      </w:r>
      <w:r>
        <w:rPr>
          <w:rFonts w:eastAsia="DM Sans" w:cs="DM Sans"/>
          <w:sz w:val="22"/>
          <w:szCs w:val="22"/>
        </w:rPr>
        <w:t xml:space="preserve">echerchée </w:t>
      </w:r>
      <w:r>
        <w:rPr>
          <w:rFonts w:eastAsia="DM Sans" w:cs="DM Sans"/>
          <w:sz w:val="22"/>
          <w:szCs w:val="22"/>
        </w:rPr>
        <w:t>aux dispositifs d’aide à la création d’entreprise (ACRE, ARE).</w:t>
      </w:r>
    </w:p>
    <w:p>
      <w:pPr>
        <w:pStyle w:val="ListParagraph"/>
        <w:numPr>
          <w:ilvl w:val="0"/>
          <w:numId w:val="1"/>
        </w:numPr>
        <w:spacing w:lineRule="exact" w:line="300" w:before="0" w:after="120"/>
        <w:rPr/>
      </w:pPr>
      <w:r>
        <w:rPr>
          <w:rFonts w:eastAsia="DM Sans" w:cs="DM Sans"/>
          <w:sz w:val="22"/>
          <w:szCs w:val="22"/>
        </w:rPr>
        <w:t xml:space="preserve">Recherche de financements complémentaires : FSE, fondations (Fondation de France, Fondation Afnic pour la solidarité numérique), </w:t>
      </w:r>
      <w:r>
        <w:rPr>
          <w:rFonts w:eastAsia="DM Sans" w:cs="DM Sans"/>
          <w:sz w:val="22"/>
          <w:szCs w:val="22"/>
        </w:rPr>
        <w:t xml:space="preserve">sponsors. </w:t>
      </w:r>
    </w:p>
    <w:p>
      <w:pPr>
        <w:pStyle w:val="Normal"/>
        <w:spacing w:before="0" w:after="100"/>
        <w:rPr/>
      </w:pPr>
      <w:r>
        <w:rPr/>
      </w:r>
    </w:p>
    <w:p>
      <w:pPr>
        <w:pStyle w:val="Normal"/>
        <w:rPr/>
      </w:pPr>
      <w:r>
        <w:rPr/>
      </w:r>
      <w:r>
        <w:br w:type="page"/>
      </w:r>
    </w:p>
    <w:p>
      <w:pPr>
        <w:pStyle w:val="Heading1"/>
        <w:spacing w:before="0" w:after="200"/>
        <w:rPr/>
      </w:pPr>
      <w:r>
        <w:rPr/>
        <w:t>7. Vision stratégique</w:t>
      </w:r>
    </w:p>
    <w:p>
      <w:pPr>
        <w:pStyle w:val="Normal"/>
        <w:spacing w:lineRule="exact" w:line="320" w:before="0" w:after="160"/>
        <w:jc w:val="both"/>
        <w:rPr/>
      </w:pPr>
      <w:r>
        <w:rPr>
          <w:rFonts w:eastAsia="DM Sans" w:cs="DM Sans"/>
          <w:sz w:val="22"/>
          <w:szCs w:val="22"/>
        </w:rPr>
        <w:t>Les Tisserands vise à devenir la plateforme de référence citoyenne pour l’intégration des réfugiés en France, en complément des outils institutionnels existants.</w:t>
      </w:r>
    </w:p>
    <w:p>
      <w:pPr>
        <w:pStyle w:val="Normal"/>
        <w:spacing w:lineRule="exact" w:line="320" w:before="0" w:after="160"/>
        <w:jc w:val="both"/>
        <w:rPr/>
      </w:pPr>
      <w:r>
        <w:rPr>
          <w:rFonts w:eastAsia="DM Sans" w:cs="DM Sans"/>
          <w:sz w:val="22"/>
          <w:szCs w:val="22"/>
        </w:rPr>
        <w:t>La stratégie repose sur trois piliers :</w:t>
      </w:r>
    </w:p>
    <w:p>
      <w:pPr>
        <w:pStyle w:val="Normal"/>
        <w:spacing w:before="0" w:after="100"/>
        <w:rPr/>
      </w:pPr>
      <w:r>
        <w:rPr/>
      </w:r>
    </w:p>
    <w:p>
      <w:pPr>
        <w:pStyle w:val="Normal"/>
        <w:spacing w:lineRule="exact" w:line="320" w:before="0" w:after="160"/>
        <w:jc w:val="both"/>
        <w:rPr/>
      </w:pPr>
      <w:r>
        <w:rPr>
          <w:rFonts w:eastAsia="DM Sans" w:cs="DM Sans"/>
          <w:b/>
          <w:bCs/>
          <w:color w:val="D4A017"/>
          <w:sz w:val="22"/>
          <w:szCs w:val="22"/>
        </w:rPr>
        <w:t>1. L’ancrage territorial.</w:t>
      </w:r>
      <w:r>
        <w:rPr>
          <w:rFonts w:eastAsia="DM Sans" w:cs="DM Sans"/>
          <w:b/>
          <w:bCs/>
          <w:sz w:val="22"/>
          <w:szCs w:val="22"/>
        </w:rPr>
        <w:t xml:space="preserve"> </w:t>
      </w:r>
      <w:r>
        <w:rPr>
          <w:rFonts w:eastAsia="DM Sans" w:cs="DM Sans"/>
          <w:sz w:val="22"/>
          <w:szCs w:val="22"/>
        </w:rPr>
        <w:t>Démarrer fort sur le territoire nancéien et sud-meurthe-et-mosellan, en construisant un maillage dense de partenaires locaux (associations, CCAS, maisons de quartier). Cette base locale permettra de valider le modèle avant de l’essaimer.</w:t>
      </w:r>
    </w:p>
    <w:p>
      <w:pPr>
        <w:pStyle w:val="Normal"/>
        <w:spacing w:lineRule="exact" w:line="320" w:before="0" w:after="160"/>
        <w:jc w:val="both"/>
        <w:rPr/>
      </w:pPr>
      <w:r>
        <w:rPr>
          <w:rFonts w:eastAsia="DM Sans" w:cs="DM Sans"/>
          <w:b/>
          <w:bCs/>
          <w:color w:val="D4A017"/>
          <w:sz w:val="22"/>
          <w:szCs w:val="22"/>
        </w:rPr>
        <w:t xml:space="preserve">2. La technologie au service de l’humain. </w:t>
      </w:r>
      <w:r>
        <w:rPr>
          <w:rFonts w:eastAsia="DM Sans" w:cs="DM Sans"/>
          <w:sz w:val="22"/>
          <w:szCs w:val="22"/>
        </w:rPr>
        <w:t xml:space="preserve">L’intelligence artificielle n’est pas une fin en soi mais un levier d’accessibilité. L’assistant juridique permet à une personne </w:t>
      </w:r>
      <w:r>
        <w:rPr>
          <w:rFonts w:eastAsia="DM Sans" w:cs="DM Sans"/>
          <w:sz w:val="22"/>
          <w:szCs w:val="22"/>
        </w:rPr>
        <w:t xml:space="preserve">par exemple </w:t>
      </w:r>
      <w:r>
        <w:rPr>
          <w:rFonts w:eastAsia="DM Sans" w:cs="DM Sans"/>
          <w:sz w:val="22"/>
          <w:szCs w:val="22"/>
        </w:rPr>
        <w:t>arabophone ou darophone de poser une question en langage courant et d’obtenir une réponse claire, sans avoir besoin de naviguer dans des arborescences administratives. C’est un accélérateur d’autonomie.</w:t>
      </w:r>
    </w:p>
    <w:p>
      <w:pPr>
        <w:pStyle w:val="Normal"/>
        <w:spacing w:lineRule="exact" w:line="320" w:before="0" w:after="160"/>
        <w:jc w:val="both"/>
        <w:rPr/>
      </w:pPr>
      <w:r>
        <w:rPr>
          <w:rFonts w:eastAsia="DM Sans" w:cs="DM Sans"/>
          <w:b/>
          <w:bCs/>
          <w:color w:val="D4A017"/>
          <w:sz w:val="22"/>
          <w:szCs w:val="22"/>
        </w:rPr>
        <w:t xml:space="preserve">3. La communauté comme moteur. </w:t>
      </w:r>
      <w:r>
        <w:rPr>
          <w:rFonts w:eastAsia="DM Sans" w:cs="DM Sans"/>
          <w:sz w:val="22"/>
          <w:szCs w:val="22"/>
        </w:rPr>
        <w:t>La plateforme n’est pas descendante : elle est alimentée par ses utilisateurs. Les citoyens partagent des ressources, les réfugiés témoignent de leurs parcours, les associations publient leurs événements. Ce modèle contributif crée un cercle vertueux où plus il y a de contenu local, plus la plateforme est utile, et plus elle attire de contributeurs.</w:t>
      </w:r>
    </w:p>
    <w:p>
      <w:pPr>
        <w:pStyle w:val="Normal"/>
        <w:spacing w:before="0" w:after="100"/>
        <w:rPr/>
      </w:pPr>
      <w:r>
        <w:rPr/>
      </w:r>
    </w:p>
    <w:p>
      <w:pPr>
        <w:pStyle w:val="Normal"/>
        <w:spacing w:lineRule="exact" w:line="320" w:before="0" w:after="160"/>
        <w:jc w:val="both"/>
        <w:rPr/>
      </w:pPr>
      <w:r>
        <w:rPr>
          <w:rFonts w:eastAsia="DM Sans" w:cs="DM Sans"/>
          <w:sz w:val="22"/>
          <w:szCs w:val="22"/>
        </w:rPr>
        <w:t xml:space="preserve">Le modèle économique envisagé est </w:t>
      </w:r>
      <w:r>
        <w:rPr>
          <w:rFonts w:eastAsia="DM Sans" w:cs="DM Sans"/>
          <w:sz w:val="22"/>
          <w:szCs w:val="22"/>
        </w:rPr>
        <w:t xml:space="preserve">à travailler – c’est aussi l’une des raisons de la volonté de rejoindre la Serre à Projets. </w:t>
      </w:r>
    </w:p>
    <w:p>
      <w:pPr>
        <w:pStyle w:val="Normal"/>
        <w:spacing w:before="0" w:after="100"/>
        <w:rPr/>
      </w:pPr>
      <w:r>
        <w:rPr/>
      </w:r>
    </w:p>
    <w:p>
      <w:pPr>
        <w:pStyle w:val="Heading1"/>
        <w:spacing w:before="360" w:after="200"/>
        <w:rPr/>
      </w:pPr>
      <w:r>
        <w:rPr/>
        <w:t>8. Marché</w:t>
      </w:r>
      <w:r>
        <w:rPr/>
        <w:t>s</w:t>
      </w:r>
      <w:r>
        <w:rPr/>
        <w:t xml:space="preserve"> visé</w:t>
      </w:r>
      <w:r>
        <w:rPr/>
        <w:t>s</w:t>
      </w:r>
    </w:p>
    <w:p>
      <w:pPr>
        <w:pStyle w:val="Normal"/>
        <w:spacing w:lineRule="exact" w:line="320" w:before="0" w:after="160"/>
        <w:jc w:val="both"/>
        <w:rPr/>
      </w:pPr>
      <w:r>
        <w:rPr>
          <w:rFonts w:eastAsia="DM Sans" w:cs="DM Sans"/>
          <w:sz w:val="22"/>
          <w:szCs w:val="22"/>
        </w:rPr>
        <w:t>Le marché de Les Tisserands se structure autour de trois publics cibles :</w:t>
      </w:r>
    </w:p>
    <w:p>
      <w:pPr>
        <w:pStyle w:val="Normal"/>
        <w:spacing w:lineRule="exact" w:line="320" w:before="0" w:after="160"/>
        <w:jc w:val="both"/>
        <w:rPr>
          <w:rFonts w:ascii="DM Sans" w:hAnsi="DM Sans" w:eastAsia="DM Sans" w:cs="DM Sans"/>
          <w:sz w:val="22"/>
          <w:szCs w:val="22"/>
        </w:rPr>
      </w:pPr>
      <w:r>
        <w:rPr/>
      </w:r>
    </w:p>
    <w:p>
      <w:pPr>
        <w:pStyle w:val="Heading3"/>
        <w:spacing w:before="360" w:after="200"/>
        <w:rPr/>
      </w:pPr>
      <w:r>
        <w:rPr>
          <w:color w:val="D4A017"/>
        </w:rPr>
        <w:t>Public primaire : les personnes réfugiées</w:t>
      </w:r>
    </w:p>
    <w:p>
      <w:pPr>
        <w:pStyle w:val="Normal"/>
        <w:spacing w:lineRule="exact" w:line="320" w:before="0" w:after="160"/>
        <w:jc w:val="both"/>
        <w:rPr/>
      </w:pPr>
      <w:r>
        <w:rPr>
          <w:rFonts w:eastAsia="DM Sans" w:cs="DM Sans"/>
          <w:sz w:val="22"/>
          <w:szCs w:val="22"/>
        </w:rPr>
        <w:t>La France accueille environ 60 000 demandeurs d’asile par an. En Meurthe-et-Moselle, le tissu d’accueil est dense (hébergement d’urgence, CADA, CPH). Le département est un territoire d’accueil historique, avec une présence importante de communautés ukrainiennes, afghanes, syriennes et africaines subsahariennes. Le besoin d’information juridique, linguistique et sociale est massif et largement insatisfait.</w:t>
      </w:r>
    </w:p>
    <w:p>
      <w:pPr>
        <w:pStyle w:val="Normal"/>
        <w:spacing w:before="0" w:after="100"/>
        <w:rPr/>
      </w:pPr>
      <w:r>
        <w:rPr/>
      </w:r>
    </w:p>
    <w:p>
      <w:pPr>
        <w:pStyle w:val="Heading3"/>
        <w:spacing w:before="360" w:after="200"/>
        <w:rPr>
          <w:color w:val="D4A017"/>
        </w:rPr>
      </w:pPr>
      <w:r>
        <w:rPr>
          <w:color w:val="D4A017"/>
        </w:rPr>
        <w:t>Public secondaire : les citoyens engagés</w:t>
      </w:r>
    </w:p>
    <w:p>
      <w:pPr>
        <w:pStyle w:val="Normal"/>
        <w:spacing w:lineRule="exact" w:line="320" w:before="0" w:after="160"/>
        <w:jc w:val="both"/>
        <w:rPr/>
      </w:pPr>
      <w:r>
        <w:rPr>
          <w:rFonts w:eastAsia="DM Sans" w:cs="DM Sans"/>
          <w:sz w:val="22"/>
          <w:szCs w:val="22"/>
        </w:rPr>
        <w:t>Bénévoles, parrains, enseignants de FLE, membres d’associations de quartier. Ils cherchent des outils pour mieux accompagner les personnes qu’ils côtoient. Les Tisserands leur offre un espace de publication et de visibilité pour leurs actions.</w:t>
      </w:r>
    </w:p>
    <w:p>
      <w:pPr>
        <w:pStyle w:val="Normal"/>
        <w:spacing w:before="0" w:after="100"/>
        <w:rPr/>
      </w:pPr>
      <w:r>
        <w:rPr/>
      </w:r>
    </w:p>
    <w:p>
      <w:pPr>
        <w:pStyle w:val="Heading3"/>
        <w:spacing w:before="360" w:after="200"/>
        <w:rPr>
          <w:color w:val="D4A017"/>
        </w:rPr>
      </w:pPr>
      <w:r>
        <w:rPr>
          <w:color w:val="D4A017"/>
        </w:rPr>
        <w:t xml:space="preserve">Public tertiaire : les institutions, associations, </w:t>
      </w:r>
      <w:r>
        <w:rPr>
          <w:color w:val="D4A017"/>
        </w:rPr>
        <w:t>entreprises</w:t>
      </w:r>
    </w:p>
    <w:p>
      <w:pPr>
        <w:pStyle w:val="Normal"/>
        <w:spacing w:lineRule="exact" w:line="320" w:before="0" w:after="160"/>
        <w:jc w:val="both"/>
        <w:rPr/>
      </w:pPr>
      <w:r>
        <w:rPr>
          <w:rFonts w:eastAsia="DM Sans" w:cs="DM Sans"/>
          <w:sz w:val="22"/>
          <w:szCs w:val="22"/>
        </w:rPr>
        <w:t xml:space="preserve">CCAS, maisons de quartier, services sociaux départementaux, associations spécialisées, </w:t>
      </w:r>
      <w:r>
        <w:rPr>
          <w:rFonts w:eastAsia="DM Sans" w:cs="DM Sans"/>
          <w:sz w:val="22"/>
          <w:szCs w:val="22"/>
        </w:rPr>
        <w:t>entreprises :</w:t>
      </w:r>
      <w:r>
        <w:rPr>
          <w:rFonts w:eastAsia="DM Sans" w:cs="DM Sans"/>
          <w:sz w:val="22"/>
          <w:szCs w:val="22"/>
        </w:rPr>
        <w:t xml:space="preserve"> ils ont besoin d’un outil de référencement et d’orientation, et d’un canal de diffusion de leurs offres de service.</w:t>
      </w:r>
    </w:p>
    <w:p>
      <w:pPr>
        <w:pStyle w:val="Normal"/>
        <w:spacing w:before="0" w:after="100"/>
        <w:rPr/>
      </w:pPr>
      <w:r>
        <w:rPr/>
      </w:r>
    </w:p>
    <w:p>
      <w:pPr>
        <w:pStyle w:val="Normal"/>
        <w:rPr/>
      </w:pPr>
      <w:r>
        <w:rPr/>
      </w:r>
      <w:r>
        <w:br w:type="page"/>
      </w:r>
    </w:p>
    <w:p>
      <w:pPr>
        <w:pStyle w:val="Heading1"/>
        <w:spacing w:before="0" w:after="200"/>
        <w:rPr/>
      </w:pPr>
      <w:r>
        <w:rPr/>
        <w:t>9. Offre prévue</w:t>
      </w:r>
    </w:p>
    <w:p>
      <w:pPr>
        <w:pStyle w:val="Normal"/>
        <w:spacing w:lineRule="exact" w:line="320" w:before="0" w:after="160"/>
        <w:jc w:val="both"/>
        <w:rPr/>
      </w:pPr>
      <w:r>
        <w:rPr>
          <w:rFonts w:eastAsia="DM Sans" w:cs="DM Sans"/>
          <w:sz w:val="22"/>
          <w:szCs w:val="22"/>
        </w:rPr>
        <w:t>Les Tisserands propose une offre gratuite pour les utilisateurs finaux, structurée autour de quatre modules :</w:t>
      </w:r>
    </w:p>
    <w:p>
      <w:pPr>
        <w:pStyle w:val="Normal"/>
        <w:spacing w:before="0" w:after="100"/>
        <w:rPr/>
      </w:pPr>
      <w:r>
        <w:rPr/>
      </w:r>
    </w:p>
    <w:p>
      <w:pPr>
        <w:pStyle w:val="Heading3"/>
        <w:spacing w:before="360" w:after="200"/>
        <w:rPr>
          <w:color w:val="D4A017"/>
        </w:rPr>
      </w:pPr>
      <w:r>
        <w:rPr>
          <w:color w:val="D4A017"/>
        </w:rPr>
        <w:t xml:space="preserve">📚 </w:t>
      </w:r>
      <w:r>
        <w:rPr>
          <w:color w:val="D4A017"/>
        </w:rPr>
        <w:t>Apprendre le français</w:t>
      </w:r>
    </w:p>
    <w:p>
      <w:pPr>
        <w:pStyle w:val="Normal"/>
        <w:spacing w:lineRule="exact" w:line="320" w:before="0" w:after="160"/>
        <w:jc w:val="both"/>
        <w:rPr/>
      </w:pPr>
      <w:r>
        <w:rPr>
          <w:rFonts w:eastAsia="DM Sans" w:cs="DM Sans"/>
          <w:sz w:val="22"/>
          <w:szCs w:val="22"/>
        </w:rPr>
        <w:t xml:space="preserve">Référencement géolocalisé des cours de FLE, tandèmes linguistiques et ateliers. Fiches pratiques en 7 langues – </w:t>
      </w:r>
      <w:r>
        <w:rPr>
          <w:rFonts w:eastAsia="DM Sans" w:cs="DM Sans"/>
          <w:sz w:val="22"/>
          <w:szCs w:val="22"/>
        </w:rPr>
        <w:t xml:space="preserve">des traductions supplémentaires peuvent être envisagées. </w:t>
      </w:r>
    </w:p>
    <w:p>
      <w:pPr>
        <w:pStyle w:val="Normal"/>
        <w:spacing w:before="0" w:after="100"/>
        <w:rPr/>
      </w:pPr>
      <w:r>
        <w:rPr/>
      </w:r>
    </w:p>
    <w:p>
      <w:pPr>
        <w:pStyle w:val="Heading3"/>
        <w:spacing w:before="360" w:after="200"/>
        <w:rPr>
          <w:color w:val="D4A017"/>
        </w:rPr>
      </w:pPr>
      <w:r>
        <w:rPr>
          <w:color w:val="D4A017"/>
        </w:rPr>
        <w:t xml:space="preserve">⚖️ </w:t>
      </w:r>
      <w:r>
        <w:rPr>
          <w:color w:val="D4A017"/>
        </w:rPr>
        <w:t>Comprendre ses droits</w:t>
      </w:r>
    </w:p>
    <w:p>
      <w:pPr>
        <w:pStyle w:val="Normal"/>
        <w:spacing w:lineRule="exact" w:line="320" w:before="0" w:after="160"/>
        <w:jc w:val="both"/>
        <w:rPr/>
      </w:pPr>
      <w:r>
        <w:rPr>
          <w:rFonts w:eastAsia="DM Sans" w:cs="DM Sans"/>
          <w:sz w:val="22"/>
          <w:szCs w:val="22"/>
        </w:rPr>
        <w:t>Assistant juridique IA multilingue. Questions/réponses en langage courant sur le droit d’asile, le titre de séjour, le regroupement familial, l’accès aux soins, le logement. Orientation vers les structures compétentes.</w:t>
      </w:r>
    </w:p>
    <w:p>
      <w:pPr>
        <w:pStyle w:val="Normal"/>
        <w:spacing w:before="0" w:after="100"/>
        <w:rPr/>
      </w:pPr>
      <w:r>
        <w:rPr/>
      </w:r>
    </w:p>
    <w:p>
      <w:pPr>
        <w:pStyle w:val="Heading3"/>
        <w:spacing w:before="360" w:after="200"/>
        <w:rPr>
          <w:color w:val="D4A017"/>
        </w:rPr>
      </w:pPr>
      <w:r>
        <w:rPr>
          <w:color w:val="D4A017"/>
        </w:rPr>
        <w:t xml:space="preserve">🚀 </w:t>
      </w:r>
      <w:r>
        <w:rPr>
          <w:color w:val="D4A017"/>
        </w:rPr>
        <w:t>Créer son entreprise</w:t>
      </w:r>
    </w:p>
    <w:p>
      <w:pPr>
        <w:pStyle w:val="Normal"/>
        <w:spacing w:lineRule="exact" w:line="320" w:before="0" w:after="160"/>
        <w:jc w:val="both"/>
        <w:rPr/>
      </w:pPr>
      <w:r>
        <w:rPr>
          <w:rFonts w:eastAsia="DM Sans" w:cs="DM Sans"/>
          <w:sz w:val="22"/>
          <w:szCs w:val="22"/>
        </w:rPr>
        <w:t>Informations sur les dispositifs d’accompagnement à la création d’activité (BGE, France Active, CCI). Témoignages d’entrepreneurs réfugiés. Mise en lien avec les structures de financement.</w:t>
      </w:r>
    </w:p>
    <w:p>
      <w:pPr>
        <w:pStyle w:val="Normal"/>
        <w:spacing w:before="0" w:after="100"/>
        <w:rPr/>
      </w:pPr>
      <w:r>
        <w:rPr/>
      </w:r>
    </w:p>
    <w:p>
      <w:pPr>
        <w:pStyle w:val="Heading3"/>
        <w:spacing w:before="360" w:after="200"/>
        <w:rPr/>
      </w:pPr>
      <w:r>
        <w:rPr/>
        <w:t xml:space="preserve">🤝 </w:t>
      </w:r>
      <w:r>
        <w:rPr>
          <w:color w:val="D4A017"/>
        </w:rPr>
        <w:t>Rencontrer des gens</w:t>
      </w:r>
    </w:p>
    <w:p>
      <w:pPr>
        <w:pStyle w:val="Normal"/>
        <w:spacing w:lineRule="exact" w:line="320" w:before="0" w:after="160"/>
        <w:jc w:val="both"/>
        <w:rPr/>
      </w:pPr>
      <w:r>
        <w:rPr>
          <w:rFonts w:eastAsia="DM Sans" w:cs="DM Sans"/>
          <w:sz w:val="22"/>
          <w:szCs w:val="22"/>
        </w:rPr>
        <w:t>Événements de convivialité : repas partagés, soirées interculturelles, sorties culturelles. Espaces de témoignage (« Trajectoires ») qui valorisent les parcours et déconstruisent les préjugés.</w:t>
      </w:r>
    </w:p>
    <w:p>
      <w:pPr>
        <w:pStyle w:val="Normal"/>
        <w:spacing w:before="0" w:after="100"/>
        <w:rPr/>
      </w:pPr>
      <w:r>
        <w:rPr/>
      </w:r>
    </w:p>
    <w:p>
      <w:pPr>
        <w:pStyle w:val="Normal"/>
        <w:spacing w:lineRule="exact" w:line="320" w:before="0" w:after="160"/>
        <w:jc w:val="both"/>
        <w:rPr/>
      </w:pPr>
      <w:r>
        <w:rPr>
          <w:rFonts w:eastAsia="DM Sans" w:cs="DM Sans"/>
          <w:sz w:val="22"/>
          <w:szCs w:val="22"/>
        </w:rPr>
        <w:t>Ces quatre modules sont accessibles depuis une page d’accueil unique, avec une carte interactive et un moteur de recherche par géolocalisation. L’interface est traduite intégralement dans 7 langues et le changement de langue est instantané.</w:t>
      </w:r>
    </w:p>
    <w:p>
      <w:pPr>
        <w:pStyle w:val="Normal"/>
        <w:spacing w:before="0" w:after="100"/>
        <w:rPr/>
      </w:pPr>
      <w:r>
        <w:rPr/>
      </w:r>
    </w:p>
    <w:p>
      <w:pPr>
        <w:pStyle w:val="Normal"/>
        <w:spacing w:before="0" w:after="100"/>
        <w:rPr/>
      </w:pPr>
      <w:r>
        <w:rPr/>
      </w:r>
    </w:p>
    <w:p>
      <w:pPr>
        <w:pStyle w:val="Heading1"/>
        <w:spacing w:before="360" w:after="200"/>
        <w:rPr/>
      </w:pPr>
      <w:r>
        <w:rPr/>
        <w:t xml:space="preserve">10. Plan d’action — </w:t>
      </w:r>
      <w:r>
        <w:rPr/>
        <w:t>6</w:t>
      </w:r>
      <w:r>
        <w:rPr/>
        <w:t xml:space="preserve"> mois</w:t>
      </w:r>
    </w:p>
    <w:p>
      <w:pPr>
        <w:pStyle w:val="Normal"/>
        <w:spacing w:before="0" w:after="100"/>
        <w:rPr/>
      </w:pPr>
      <w:r>
        <w:rPr/>
      </w:r>
    </w:p>
    <w:p>
      <w:pPr>
        <w:pStyle w:val="Heading2"/>
        <w:spacing w:before="360" w:after="200"/>
        <w:rPr/>
      </w:pPr>
      <w:r>
        <w:rPr/>
        <w:t>Phase 1 : Consolidation (mars – m</w:t>
      </w:r>
      <w:r>
        <w:rPr/>
        <w:t xml:space="preserve">ai </w:t>
      </w:r>
      <w:r>
        <w:rPr/>
        <w:t>2026)</w:t>
      </w:r>
    </w:p>
    <w:p>
      <w:pPr>
        <w:pStyle w:val="ListParagraph"/>
        <w:numPr>
          <w:ilvl w:val="0"/>
          <w:numId w:val="1"/>
        </w:numPr>
        <w:spacing w:lineRule="exact" w:line="300" w:before="0" w:after="120"/>
        <w:rPr/>
      </w:pPr>
      <w:r>
        <w:rPr>
          <w:rFonts w:eastAsia="DM Sans" w:cs="DM Sans"/>
          <w:sz w:val="22"/>
          <w:szCs w:val="22"/>
        </w:rPr>
        <w:t>Création de la structure juridique (association loi 1901 ?).</w:t>
      </w:r>
    </w:p>
    <w:p>
      <w:pPr>
        <w:pStyle w:val="ListParagraph"/>
        <w:numPr>
          <w:ilvl w:val="0"/>
          <w:numId w:val="1"/>
        </w:numPr>
        <w:spacing w:lineRule="exact" w:line="300" w:before="0" w:after="120"/>
        <w:rPr/>
      </w:pPr>
      <w:r>
        <w:rPr>
          <w:rFonts w:eastAsia="DM Sans" w:cs="DM Sans"/>
          <w:sz w:val="22"/>
          <w:szCs w:val="22"/>
        </w:rPr>
        <w:t>Enrichissement de la base de données : recenser et géolocaliser toutes les ressources du territoire sud-meurthe-et-mosellan (objectif : 200 ressources référencées).</w:t>
      </w:r>
    </w:p>
    <w:p>
      <w:pPr>
        <w:pStyle w:val="ListParagraph"/>
        <w:numPr>
          <w:ilvl w:val="0"/>
          <w:numId w:val="1"/>
        </w:numPr>
        <w:spacing w:lineRule="exact" w:line="300" w:before="0" w:after="120"/>
        <w:rPr/>
      </w:pPr>
      <w:r>
        <w:rPr>
          <w:rFonts w:eastAsia="DM Sans" w:cs="DM Sans"/>
          <w:sz w:val="22"/>
          <w:szCs w:val="22"/>
        </w:rPr>
        <w:t>Nouer les premiers partenariats associatifs et institutionnels (Croix-Rouge, Forum Réfugiés, Préfecture, Métropole).</w:t>
      </w:r>
    </w:p>
    <w:p>
      <w:pPr>
        <w:pStyle w:val="ListParagraph"/>
        <w:numPr>
          <w:ilvl w:val="0"/>
          <w:numId w:val="1"/>
        </w:numPr>
        <w:spacing w:lineRule="exact" w:line="300" w:before="0" w:after="120"/>
        <w:rPr/>
      </w:pPr>
      <w:r>
        <w:rPr>
          <w:rFonts w:eastAsia="DM Sans" w:cs="DM Sans"/>
          <w:sz w:val="22"/>
          <w:szCs w:val="22"/>
        </w:rPr>
        <w:t>Améliorer l’assistant juridique IA : enrichir la base de connaissances, tester avec des utilisateurs réels, affiner les réponses.</w:t>
      </w:r>
    </w:p>
    <w:p>
      <w:pPr>
        <w:pStyle w:val="ListParagraph"/>
        <w:numPr>
          <w:ilvl w:val="0"/>
          <w:numId w:val="1"/>
        </w:numPr>
        <w:spacing w:lineRule="exact" w:line="300" w:before="0" w:after="120"/>
        <w:rPr/>
      </w:pPr>
      <w:r>
        <w:rPr>
          <w:rFonts w:eastAsia="DM Sans" w:cs="DM Sans"/>
          <w:sz w:val="22"/>
          <w:szCs w:val="22"/>
        </w:rPr>
        <w:t>Recueillir 10 nouveaux témoignages « Trajectoires ».</w:t>
      </w:r>
    </w:p>
    <w:p>
      <w:pPr>
        <w:pStyle w:val="Normal"/>
        <w:spacing w:before="0" w:after="100"/>
        <w:rPr/>
      </w:pPr>
      <w:r>
        <w:rPr/>
      </w:r>
    </w:p>
    <w:p>
      <w:pPr>
        <w:pStyle w:val="Heading2"/>
        <w:spacing w:before="360" w:after="200"/>
        <w:rPr/>
      </w:pPr>
      <w:r>
        <w:rPr/>
        <w:t>Phase 2 : Lancement public (</w:t>
      </w:r>
      <w:r>
        <w:rPr/>
        <w:t>juin</w:t>
      </w:r>
      <w:r>
        <w:rPr/>
        <w:t xml:space="preserve"> 2026)</w:t>
      </w:r>
    </w:p>
    <w:p>
      <w:pPr>
        <w:pStyle w:val="ListParagraph"/>
        <w:numPr>
          <w:ilvl w:val="0"/>
          <w:numId w:val="1"/>
        </w:numPr>
        <w:spacing w:lineRule="exact" w:line="300" w:before="0" w:after="120"/>
        <w:rPr/>
      </w:pPr>
      <w:r>
        <w:rPr>
          <w:rFonts w:eastAsia="DM Sans" w:cs="DM Sans"/>
          <w:sz w:val="22"/>
          <w:szCs w:val="22"/>
        </w:rPr>
        <w:t>Lancement officiel de la plateforme lors d’un événement public à Nancy (partenariat Maison de quartier ou Médiathèque).</w:t>
      </w:r>
    </w:p>
    <w:p>
      <w:pPr>
        <w:pStyle w:val="ListParagraph"/>
        <w:numPr>
          <w:ilvl w:val="0"/>
          <w:numId w:val="1"/>
        </w:numPr>
        <w:spacing w:lineRule="exact" w:line="300" w:before="0" w:after="120"/>
        <w:rPr/>
      </w:pPr>
      <w:r>
        <w:rPr>
          <w:rFonts w:eastAsia="DM Sans" w:cs="DM Sans"/>
          <w:sz w:val="22"/>
          <w:szCs w:val="22"/>
        </w:rPr>
        <w:t>Campagne de communication : réseaux sociaux multilingues, flyers dans les lieux d’accueil, présentation aux travailleurs sociaux.</w:t>
      </w:r>
    </w:p>
    <w:p>
      <w:pPr>
        <w:pStyle w:val="ListParagraph"/>
        <w:numPr>
          <w:ilvl w:val="0"/>
          <w:numId w:val="1"/>
        </w:numPr>
        <w:spacing w:lineRule="exact" w:line="300" w:before="0" w:after="120"/>
        <w:rPr/>
      </w:pPr>
      <w:r>
        <w:rPr>
          <w:rFonts w:eastAsia="DM Sans" w:cs="DM Sans"/>
          <w:sz w:val="22"/>
          <w:szCs w:val="22"/>
        </w:rPr>
        <w:t>Formation des équipes associatives partenaires à l’utilisation de la plateforme.</w:t>
      </w:r>
    </w:p>
    <w:p>
      <w:pPr>
        <w:pStyle w:val="ListParagraph"/>
        <w:numPr>
          <w:ilvl w:val="0"/>
          <w:numId w:val="1"/>
        </w:numPr>
        <w:spacing w:lineRule="exact" w:line="300" w:before="0" w:after="120"/>
        <w:rPr/>
      </w:pPr>
      <w:r>
        <w:rPr>
          <w:rFonts w:eastAsia="DM Sans" w:cs="DM Sans"/>
          <w:sz w:val="22"/>
          <w:szCs w:val="22"/>
        </w:rPr>
        <w:t>Mise en place d’un comité d’utilisateurs (réfugiés, citoyens, associations) pour le pilotage participatif.</w:t>
      </w:r>
    </w:p>
    <w:p>
      <w:pPr>
        <w:pStyle w:val="ListParagraph"/>
        <w:numPr>
          <w:ilvl w:val="0"/>
          <w:numId w:val="1"/>
        </w:numPr>
        <w:spacing w:lineRule="exact" w:line="300" w:before="0" w:after="120"/>
        <w:rPr/>
      </w:pPr>
      <w:r>
        <w:rPr>
          <w:rFonts w:eastAsia="DM Sans" w:cs="DM Sans"/>
          <w:sz w:val="22"/>
          <w:szCs w:val="22"/>
        </w:rPr>
        <w:t>Développement technique : application mobile (PWA), notifications, amélioration de l’accessibilité.</w:t>
      </w:r>
    </w:p>
    <w:p>
      <w:pPr>
        <w:pStyle w:val="Normal"/>
        <w:spacing w:before="0" w:after="100"/>
        <w:rPr/>
      </w:pPr>
      <w:r>
        <w:rPr/>
      </w:r>
    </w:p>
    <w:p>
      <w:pPr>
        <w:pStyle w:val="Heading2"/>
        <w:spacing w:before="360" w:after="200"/>
        <w:rPr/>
      </w:pPr>
      <w:r>
        <w:rPr/>
        <w:t>Phase 3 : Essaimage (</w:t>
      </w:r>
      <w:r>
        <w:rPr/>
        <w:t>septembre</w:t>
      </w:r>
      <w:r>
        <w:rPr/>
        <w:t xml:space="preserve"> 202</w:t>
      </w:r>
      <w:r>
        <w:rPr/>
        <w:t>6</w:t>
      </w:r>
      <w:r>
        <w:rPr/>
        <w:t>)</w:t>
      </w:r>
    </w:p>
    <w:p>
      <w:pPr>
        <w:pStyle w:val="ListParagraph"/>
        <w:numPr>
          <w:ilvl w:val="0"/>
          <w:numId w:val="1"/>
        </w:numPr>
        <w:spacing w:lineRule="exact" w:line="300" w:before="0" w:after="120"/>
        <w:rPr/>
      </w:pPr>
      <w:r>
        <w:rPr>
          <w:rFonts w:eastAsia="DM Sans" w:cs="DM Sans"/>
          <w:sz w:val="22"/>
          <w:szCs w:val="22"/>
        </w:rPr>
        <w:t>Documentation du modèle sur d’autres territoires (Pont-à-Mousson, Toul, Lunéville, puis au-delà).</w:t>
      </w:r>
    </w:p>
    <w:p>
      <w:pPr>
        <w:pStyle w:val="ListParagraph"/>
        <w:numPr>
          <w:ilvl w:val="0"/>
          <w:numId w:val="1"/>
        </w:numPr>
        <w:spacing w:lineRule="exact" w:line="300" w:before="0" w:after="120"/>
        <w:rPr/>
      </w:pPr>
      <w:r>
        <w:rPr>
          <w:rFonts w:eastAsia="DM Sans" w:cs="DM Sans"/>
          <w:sz w:val="22"/>
          <w:szCs w:val="22"/>
        </w:rPr>
        <w:t>Candidature aux appels à projets nationaux (DIAIR, BOP 104 intégration des réfugiés, Fondation de France).</w:t>
      </w:r>
    </w:p>
    <w:p>
      <w:pPr>
        <w:pStyle w:val="ListParagraph"/>
        <w:numPr>
          <w:ilvl w:val="0"/>
          <w:numId w:val="1"/>
        </w:numPr>
        <w:spacing w:lineRule="exact" w:line="300" w:before="0" w:after="120"/>
        <w:rPr/>
      </w:pPr>
      <w:r>
        <w:rPr>
          <w:rFonts w:eastAsia="DM Sans" w:cs="DM Sans"/>
          <w:sz w:val="22"/>
          <w:szCs w:val="22"/>
        </w:rPr>
        <w:t>Objectif : 1 000 utilisateurs actifs sur le territoire, 50 partenaires référencés, 500 ressources géolocalisées.</w:t>
      </w:r>
    </w:p>
    <w:p>
      <w:pPr>
        <w:pStyle w:val="ListParagraph"/>
        <w:numPr>
          <w:ilvl w:val="0"/>
          <w:numId w:val="1"/>
        </w:numPr>
        <w:spacing w:lineRule="exact" w:line="300" w:before="0" w:after="120"/>
        <w:rPr/>
      </w:pPr>
      <w:r>
        <w:rPr>
          <w:rFonts w:eastAsia="DM Sans" w:cs="DM Sans"/>
          <w:sz w:val="22"/>
          <w:szCs w:val="22"/>
        </w:rPr>
        <w:t>Première évaluation d’impact (enquête utilisateurs, mesure de l’usage de l’assistant juridique).</w:t>
      </w:r>
    </w:p>
    <w:p>
      <w:pPr>
        <w:pStyle w:val="Heading1"/>
        <w:spacing w:before="0" w:after="200"/>
        <w:rPr/>
      </w:pPr>
      <w:r>
        <w:rPr/>
        <w:t>11. Impacts recherchés</w:t>
      </w:r>
    </w:p>
    <w:p>
      <w:pPr>
        <w:pStyle w:val="Normal"/>
        <w:spacing w:before="0" w:after="100"/>
        <w:rPr/>
      </w:pPr>
      <w:r>
        <w:rPr/>
      </w:r>
    </w:p>
    <w:p>
      <w:pPr>
        <w:pStyle w:val="Heading2"/>
        <w:spacing w:before="360" w:after="200"/>
        <w:rPr/>
      </w:pPr>
      <w:r>
        <w:rPr/>
        <w:t>Impact social</w:t>
      </w:r>
    </w:p>
    <w:p>
      <w:pPr>
        <w:pStyle w:val="ListParagraph"/>
        <w:numPr>
          <w:ilvl w:val="0"/>
          <w:numId w:val="1"/>
        </w:numPr>
        <w:spacing w:lineRule="exact" w:line="300" w:before="0" w:after="120"/>
        <w:rPr/>
      </w:pPr>
      <w:r>
        <w:rPr>
          <w:rFonts w:eastAsia="DM Sans" w:cs="DM Sans"/>
          <w:sz w:val="22"/>
          <w:szCs w:val="22"/>
        </w:rPr>
        <w:t>Réduction de la fracture informationnelle : accès aux droits dans sa propre langue, sans intermédiaire.</w:t>
      </w:r>
    </w:p>
    <w:p>
      <w:pPr>
        <w:pStyle w:val="ListParagraph"/>
        <w:numPr>
          <w:ilvl w:val="0"/>
          <w:numId w:val="1"/>
        </w:numPr>
        <w:spacing w:lineRule="exact" w:line="300" w:before="0" w:after="120"/>
        <w:rPr/>
      </w:pPr>
      <w:r>
        <w:rPr>
          <w:rFonts w:eastAsia="DM Sans" w:cs="DM Sans"/>
          <w:sz w:val="22"/>
          <w:szCs w:val="22"/>
        </w:rPr>
        <w:t>Renforcement de l’autonomie des personnes réfugiées dans leurs démarches.</w:t>
      </w:r>
    </w:p>
    <w:p>
      <w:pPr>
        <w:pStyle w:val="ListParagraph"/>
        <w:numPr>
          <w:ilvl w:val="0"/>
          <w:numId w:val="1"/>
        </w:numPr>
        <w:spacing w:lineRule="exact" w:line="300" w:before="0" w:after="120"/>
        <w:rPr/>
      </w:pPr>
      <w:r>
        <w:rPr>
          <w:rFonts w:eastAsia="DM Sans" w:cs="DM Sans"/>
          <w:sz w:val="22"/>
          <w:szCs w:val="22"/>
        </w:rPr>
        <w:t>Valorisation des parcours et compétences des personnes réfugiées (témoignages, entrepreneuriat).</w:t>
      </w:r>
    </w:p>
    <w:p>
      <w:pPr>
        <w:pStyle w:val="ListParagraph"/>
        <w:numPr>
          <w:ilvl w:val="0"/>
          <w:numId w:val="1"/>
        </w:numPr>
        <w:spacing w:lineRule="exact" w:line="300" w:before="0" w:after="120"/>
        <w:rPr/>
      </w:pPr>
      <w:r>
        <w:rPr>
          <w:rFonts w:eastAsia="DM Sans" w:cs="DM Sans"/>
          <w:sz w:val="22"/>
          <w:szCs w:val="22"/>
        </w:rPr>
        <w:t>Création de lien social entre réfugiés et citoyens français (événements, partages communautaires).</w:t>
      </w:r>
    </w:p>
    <w:p>
      <w:pPr>
        <w:pStyle w:val="Normal"/>
        <w:spacing w:before="0" w:after="100"/>
        <w:rPr/>
      </w:pPr>
      <w:r>
        <w:rPr/>
      </w:r>
    </w:p>
    <w:p>
      <w:pPr>
        <w:pStyle w:val="Heading2"/>
        <w:spacing w:before="360" w:after="200"/>
        <w:rPr/>
      </w:pPr>
      <w:r>
        <w:rPr/>
        <w:t>Impact économique</w:t>
      </w:r>
    </w:p>
    <w:p>
      <w:pPr>
        <w:pStyle w:val="ListParagraph"/>
        <w:numPr>
          <w:ilvl w:val="0"/>
          <w:numId w:val="1"/>
        </w:numPr>
        <w:spacing w:lineRule="exact" w:line="300" w:before="0" w:after="120"/>
        <w:rPr/>
      </w:pPr>
      <w:r>
        <w:rPr>
          <w:rFonts w:eastAsia="DM Sans" w:cs="DM Sans"/>
          <w:sz w:val="22"/>
          <w:szCs w:val="22"/>
        </w:rPr>
        <w:t>Accélération de l’insertion professionnelle et de la création d’activité par les réfugiés.</w:t>
      </w:r>
    </w:p>
    <w:p>
      <w:pPr>
        <w:pStyle w:val="ListParagraph"/>
        <w:numPr>
          <w:ilvl w:val="0"/>
          <w:numId w:val="1"/>
        </w:numPr>
        <w:spacing w:lineRule="exact" w:line="300" w:before="0" w:after="120"/>
        <w:rPr/>
      </w:pPr>
      <w:r>
        <w:rPr>
          <w:rFonts w:eastAsia="DM Sans" w:cs="DM Sans"/>
          <w:sz w:val="22"/>
          <w:szCs w:val="22"/>
        </w:rPr>
        <w:t>Réduction des coûts d’accompagnement pour les associations et les services sociaux (l’assistant IA prend en charge les questions répétitives).</w:t>
      </w:r>
    </w:p>
    <w:p>
      <w:pPr>
        <w:pStyle w:val="ListParagraph"/>
        <w:numPr>
          <w:ilvl w:val="0"/>
          <w:numId w:val="1"/>
        </w:numPr>
        <w:spacing w:lineRule="exact" w:line="300" w:before="0" w:after="120"/>
        <w:rPr/>
      </w:pPr>
      <w:r>
        <w:rPr>
          <w:rFonts w:eastAsia="DM Sans" w:cs="DM Sans"/>
          <w:sz w:val="22"/>
          <w:szCs w:val="22"/>
        </w:rPr>
        <w:t>Création potentielle de 1 à 2 emplois liés à la gestion de la plateforme à horizon 1</w:t>
      </w:r>
      <w:r>
        <w:rPr>
          <w:rFonts w:eastAsia="DM Sans" w:cs="DM Sans"/>
          <w:sz w:val="22"/>
          <w:szCs w:val="22"/>
        </w:rPr>
        <w:t>2</w:t>
      </w:r>
      <w:r>
        <w:rPr>
          <w:rFonts w:eastAsia="DM Sans" w:cs="DM Sans"/>
          <w:sz w:val="22"/>
          <w:szCs w:val="22"/>
        </w:rPr>
        <w:t xml:space="preserve"> mois.</w:t>
      </w:r>
    </w:p>
    <w:p>
      <w:pPr>
        <w:pStyle w:val="Normal"/>
        <w:spacing w:before="0" w:after="100"/>
        <w:rPr/>
      </w:pPr>
      <w:r>
        <w:rPr/>
      </w:r>
    </w:p>
    <w:p>
      <w:pPr>
        <w:pStyle w:val="Heading2"/>
        <w:spacing w:before="360" w:after="200"/>
        <w:rPr/>
      </w:pPr>
      <w:r>
        <w:rPr/>
        <w:t>Impact territorial</w:t>
      </w:r>
    </w:p>
    <w:p>
      <w:pPr>
        <w:pStyle w:val="ListParagraph"/>
        <w:numPr>
          <w:ilvl w:val="0"/>
          <w:numId w:val="1"/>
        </w:numPr>
        <w:spacing w:lineRule="exact" w:line="300" w:before="0" w:after="120"/>
        <w:rPr/>
      </w:pPr>
      <w:r>
        <w:rPr>
          <w:rFonts w:eastAsia="DM Sans" w:cs="DM Sans"/>
          <w:sz w:val="22"/>
          <w:szCs w:val="22"/>
        </w:rPr>
        <w:t>Visibilité accrue des actions associatives locales grâce au référencement et à la géolocalisation.</w:t>
      </w:r>
    </w:p>
    <w:p>
      <w:pPr>
        <w:pStyle w:val="ListParagraph"/>
        <w:numPr>
          <w:ilvl w:val="0"/>
          <w:numId w:val="1"/>
        </w:numPr>
        <w:spacing w:lineRule="exact" w:line="300" w:before="0" w:after="120"/>
        <w:rPr/>
      </w:pPr>
      <w:r>
        <w:rPr>
          <w:rFonts w:eastAsia="DM Sans" w:cs="DM Sans"/>
          <w:sz w:val="22"/>
          <w:szCs w:val="22"/>
        </w:rPr>
        <w:t>Création de synergies entre les bassins de vie du Sud Meurthe-et-Moselle (Nancy, Pont-à-Mousson, Toul, Lunéville) grâce à une plateforme commune.</w:t>
      </w:r>
    </w:p>
    <w:p>
      <w:pPr>
        <w:pStyle w:val="ListParagraph"/>
        <w:numPr>
          <w:ilvl w:val="0"/>
          <w:numId w:val="1"/>
        </w:numPr>
        <w:spacing w:lineRule="exact" w:line="300" w:before="0" w:after="120"/>
        <w:rPr/>
      </w:pPr>
      <w:r>
        <w:rPr>
          <w:rFonts w:eastAsia="DM Sans" w:cs="DM Sans"/>
          <w:sz w:val="22"/>
          <w:szCs w:val="22"/>
        </w:rPr>
        <w:t>Renforcement de l’attractivité du territoire comme terre d’accueil et d’innovation sociale.</w:t>
      </w:r>
    </w:p>
    <w:p>
      <w:pPr>
        <w:pStyle w:val="Normal"/>
        <w:spacing w:before="0" w:after="100"/>
        <w:rPr/>
      </w:pPr>
      <w:r>
        <w:rPr/>
      </w:r>
    </w:p>
    <w:p>
      <w:pPr>
        <w:pStyle w:val="Heading2"/>
        <w:spacing w:before="360" w:after="200"/>
        <w:rPr/>
      </w:pPr>
      <w:r>
        <w:rPr/>
        <w:t>Impact environnemental</w:t>
      </w:r>
    </w:p>
    <w:p>
      <w:pPr>
        <w:pStyle w:val="Normal"/>
        <w:spacing w:lineRule="exact" w:line="320" w:before="0" w:after="160"/>
        <w:jc w:val="both"/>
        <w:rPr/>
      </w:pPr>
      <w:r>
        <w:rPr>
          <w:rFonts w:eastAsia="DM Sans" w:cs="DM Sans"/>
          <w:sz w:val="22"/>
          <w:szCs w:val="22"/>
        </w:rPr>
        <w:t>L’impact environnemental direct est limité (plateforme numérique), mais le projet contribue indirectement à la réduction des déplacements inutiles (information accessible en ligne plutôt qu’en se déplaçant de guichet en guichet) et privilégie une infrastructure sobre (pas d’application native, pas de publicité, code open source).</w:t>
      </w:r>
    </w:p>
    <w:p>
      <w:pPr>
        <w:pStyle w:val="Normal"/>
        <w:spacing w:before="0" w:after="100"/>
        <w:rPr/>
      </w:pPr>
      <w:r>
        <w:rPr/>
      </w:r>
    </w:p>
    <w:p>
      <w:pPr>
        <w:pStyle w:val="Heading2"/>
        <w:spacing w:before="360" w:after="200"/>
        <w:rPr/>
      </w:pPr>
      <w:r>
        <w:rPr/>
        <w:t>Indicateurs d’impact</w:t>
      </w:r>
    </w:p>
    <w:tbl>
      <w:tblPr>
        <w:tblW w:w="9026" w:type="dxa"/>
        <w:jc w:val="left"/>
        <w:tblInd w:w="0" w:type="dxa"/>
        <w:tblLayout w:type="fixed"/>
        <w:tblCellMar>
          <w:top w:w="80" w:type="dxa"/>
          <w:left w:w="120" w:type="dxa"/>
          <w:bottom w:w="80" w:type="dxa"/>
          <w:right w:w="120" w:type="dxa"/>
        </w:tblCellMar>
      </w:tblPr>
      <w:tblGrid>
        <w:gridCol w:w="2799"/>
        <w:gridCol w:w="6226"/>
      </w:tblGrid>
      <w:tr>
        <w:trPr/>
        <w:tc>
          <w:tcPr>
            <w:tcW w:w="2799" w:type="dxa"/>
            <w:tcBorders>
              <w:top w:val="single" w:sz="2" w:space="0" w:color="DDDDDD"/>
              <w:left w:val="single" w:sz="2" w:space="0" w:color="DDDDDD"/>
              <w:bottom w:val="single" w:sz="2" w:space="0" w:color="DDDDDD"/>
              <w:right w:val="single" w:sz="2" w:space="0" w:color="DDDDDD"/>
            </w:tcBorders>
            <w:shd w:fill="FFF8E7" w:val="clear"/>
          </w:tcPr>
          <w:p>
            <w:pPr>
              <w:pStyle w:val="Normal"/>
              <w:rPr/>
            </w:pPr>
            <w:r>
              <w:rPr>
                <w:rFonts w:eastAsia="DM Sans" w:cs="DM Sans"/>
                <w:b/>
                <w:bCs/>
                <w:sz w:val="22"/>
                <w:szCs w:val="22"/>
              </w:rPr>
              <w:t>Indicateur</w:t>
            </w:r>
          </w:p>
        </w:tc>
        <w:tc>
          <w:tcPr>
            <w:tcW w:w="6226" w:type="dxa"/>
            <w:tcBorders>
              <w:top w:val="single" w:sz="2" w:space="0" w:color="DDDDDD"/>
              <w:left w:val="single" w:sz="2" w:space="0" w:color="DDDDDD"/>
              <w:bottom w:val="single" w:sz="2" w:space="0" w:color="DDDDDD"/>
              <w:right w:val="single" w:sz="2" w:space="0" w:color="DDDDDD"/>
            </w:tcBorders>
          </w:tcPr>
          <w:p>
            <w:pPr>
              <w:pStyle w:val="Normal"/>
              <w:rPr/>
            </w:pPr>
            <w:r>
              <w:rPr>
                <w:rFonts w:eastAsia="DM Sans" w:cs="DM Sans"/>
                <w:sz w:val="22"/>
                <w:szCs w:val="22"/>
              </w:rPr>
              <w:t xml:space="preserve">Objectif à </w:t>
            </w:r>
            <w:r>
              <w:rPr>
                <w:rFonts w:eastAsia="DM Sans" w:cs="DM Sans"/>
                <w:sz w:val="22"/>
                <w:szCs w:val="22"/>
              </w:rPr>
              <w:t xml:space="preserve">6 </w:t>
            </w:r>
            <w:r>
              <w:rPr>
                <w:rFonts w:eastAsia="DM Sans" w:cs="DM Sans"/>
                <w:sz w:val="22"/>
                <w:szCs w:val="22"/>
              </w:rPr>
              <w:t>mois</w:t>
            </w:r>
          </w:p>
        </w:tc>
      </w:tr>
      <w:tr>
        <w:trPr/>
        <w:tc>
          <w:tcPr>
            <w:tcW w:w="2799" w:type="dxa"/>
            <w:tcBorders>
              <w:top w:val="single" w:sz="2" w:space="0" w:color="DDDDDD"/>
              <w:left w:val="single" w:sz="2" w:space="0" w:color="DDDDDD"/>
              <w:bottom w:val="single" w:sz="2" w:space="0" w:color="DDDDDD"/>
              <w:right w:val="single" w:sz="2" w:space="0" w:color="DDDDDD"/>
            </w:tcBorders>
            <w:shd w:fill="FFF8E7" w:val="clear"/>
          </w:tcPr>
          <w:p>
            <w:pPr>
              <w:pStyle w:val="Normal"/>
              <w:rPr/>
            </w:pPr>
            <w:r>
              <w:rPr>
                <w:rFonts w:eastAsia="DM Sans" w:cs="DM Sans"/>
                <w:b/>
                <w:bCs/>
                <w:sz w:val="22"/>
                <w:szCs w:val="22"/>
              </w:rPr>
              <w:t>Utilisateurs actifs mensuels</w:t>
            </w:r>
          </w:p>
        </w:tc>
        <w:tc>
          <w:tcPr>
            <w:tcW w:w="6226" w:type="dxa"/>
            <w:tcBorders>
              <w:top w:val="single" w:sz="2" w:space="0" w:color="DDDDDD"/>
              <w:left w:val="single" w:sz="2" w:space="0" w:color="DDDDDD"/>
              <w:bottom w:val="single" w:sz="2" w:space="0" w:color="DDDDDD"/>
              <w:right w:val="single" w:sz="2" w:space="0" w:color="DDDDDD"/>
            </w:tcBorders>
          </w:tcPr>
          <w:p>
            <w:pPr>
              <w:pStyle w:val="Normal"/>
              <w:rPr/>
            </w:pPr>
            <w:r>
              <w:rPr>
                <w:rFonts w:eastAsia="DM Sans" w:cs="DM Sans"/>
                <w:sz w:val="22"/>
                <w:szCs w:val="22"/>
              </w:rPr>
              <w:t>1 000</w:t>
            </w:r>
          </w:p>
        </w:tc>
      </w:tr>
      <w:tr>
        <w:trPr/>
        <w:tc>
          <w:tcPr>
            <w:tcW w:w="2799" w:type="dxa"/>
            <w:tcBorders>
              <w:top w:val="single" w:sz="2" w:space="0" w:color="DDDDDD"/>
              <w:left w:val="single" w:sz="2" w:space="0" w:color="DDDDDD"/>
              <w:bottom w:val="single" w:sz="2" w:space="0" w:color="DDDDDD"/>
              <w:right w:val="single" w:sz="2" w:space="0" w:color="DDDDDD"/>
            </w:tcBorders>
            <w:shd w:fill="FFF8E7" w:val="clear"/>
          </w:tcPr>
          <w:p>
            <w:pPr>
              <w:pStyle w:val="Normal"/>
              <w:rPr/>
            </w:pPr>
            <w:r>
              <w:rPr>
                <w:rFonts w:eastAsia="DM Sans" w:cs="DM Sans"/>
                <w:b/>
                <w:bCs/>
                <w:sz w:val="22"/>
                <w:szCs w:val="22"/>
              </w:rPr>
              <w:t>Questions posées à l’assistant</w:t>
            </w:r>
          </w:p>
        </w:tc>
        <w:tc>
          <w:tcPr>
            <w:tcW w:w="6226" w:type="dxa"/>
            <w:tcBorders>
              <w:top w:val="single" w:sz="2" w:space="0" w:color="DDDDDD"/>
              <w:left w:val="single" w:sz="2" w:space="0" w:color="DDDDDD"/>
              <w:bottom w:val="single" w:sz="2" w:space="0" w:color="DDDDDD"/>
              <w:right w:val="single" w:sz="2" w:space="0" w:color="DDDDDD"/>
            </w:tcBorders>
          </w:tcPr>
          <w:p>
            <w:pPr>
              <w:pStyle w:val="Normal"/>
              <w:rPr/>
            </w:pPr>
            <w:r>
              <w:rPr>
                <w:rFonts w:eastAsia="DM Sans" w:cs="DM Sans"/>
                <w:sz w:val="22"/>
                <w:szCs w:val="22"/>
              </w:rPr>
              <w:t>5 000</w:t>
            </w:r>
          </w:p>
        </w:tc>
      </w:tr>
      <w:tr>
        <w:trPr/>
        <w:tc>
          <w:tcPr>
            <w:tcW w:w="2799" w:type="dxa"/>
            <w:tcBorders>
              <w:top w:val="single" w:sz="2" w:space="0" w:color="DDDDDD"/>
              <w:left w:val="single" w:sz="2" w:space="0" w:color="DDDDDD"/>
              <w:bottom w:val="single" w:sz="2" w:space="0" w:color="DDDDDD"/>
              <w:right w:val="single" w:sz="2" w:space="0" w:color="DDDDDD"/>
            </w:tcBorders>
            <w:shd w:fill="FFF8E7" w:val="clear"/>
          </w:tcPr>
          <w:p>
            <w:pPr>
              <w:pStyle w:val="Normal"/>
              <w:rPr/>
            </w:pPr>
            <w:r>
              <w:rPr>
                <w:rFonts w:eastAsia="DM Sans" w:cs="DM Sans"/>
                <w:b/>
                <w:bCs/>
                <w:sz w:val="22"/>
                <w:szCs w:val="22"/>
              </w:rPr>
              <w:t>Ressources géolocalisées</w:t>
            </w:r>
          </w:p>
        </w:tc>
        <w:tc>
          <w:tcPr>
            <w:tcW w:w="6226" w:type="dxa"/>
            <w:tcBorders>
              <w:top w:val="single" w:sz="2" w:space="0" w:color="DDDDDD"/>
              <w:left w:val="single" w:sz="2" w:space="0" w:color="DDDDDD"/>
              <w:bottom w:val="single" w:sz="2" w:space="0" w:color="DDDDDD"/>
              <w:right w:val="single" w:sz="2" w:space="0" w:color="DDDDDD"/>
            </w:tcBorders>
          </w:tcPr>
          <w:p>
            <w:pPr>
              <w:pStyle w:val="Normal"/>
              <w:rPr/>
            </w:pPr>
            <w:r>
              <w:rPr>
                <w:rFonts w:eastAsia="DM Sans" w:cs="DM Sans"/>
                <w:sz w:val="22"/>
                <w:szCs w:val="22"/>
              </w:rPr>
              <w:t>500</w:t>
            </w:r>
          </w:p>
        </w:tc>
      </w:tr>
      <w:tr>
        <w:trPr/>
        <w:tc>
          <w:tcPr>
            <w:tcW w:w="2799" w:type="dxa"/>
            <w:tcBorders>
              <w:top w:val="single" w:sz="2" w:space="0" w:color="DDDDDD"/>
              <w:left w:val="single" w:sz="2" w:space="0" w:color="DDDDDD"/>
              <w:bottom w:val="single" w:sz="2" w:space="0" w:color="DDDDDD"/>
              <w:right w:val="single" w:sz="2" w:space="0" w:color="DDDDDD"/>
            </w:tcBorders>
            <w:shd w:fill="FFF8E7" w:val="clear"/>
          </w:tcPr>
          <w:p>
            <w:pPr>
              <w:pStyle w:val="Normal"/>
              <w:rPr/>
            </w:pPr>
            <w:r>
              <w:rPr>
                <w:rFonts w:eastAsia="DM Sans" w:cs="DM Sans"/>
                <w:b/>
                <w:bCs/>
                <w:sz w:val="22"/>
                <w:szCs w:val="22"/>
              </w:rPr>
              <w:t>Partenaires associatifs actifs</w:t>
            </w:r>
          </w:p>
        </w:tc>
        <w:tc>
          <w:tcPr>
            <w:tcW w:w="6226" w:type="dxa"/>
            <w:tcBorders>
              <w:top w:val="single" w:sz="2" w:space="0" w:color="DDDDDD"/>
              <w:left w:val="single" w:sz="2" w:space="0" w:color="DDDDDD"/>
              <w:bottom w:val="single" w:sz="2" w:space="0" w:color="DDDDDD"/>
              <w:right w:val="single" w:sz="2" w:space="0" w:color="DDDDDD"/>
            </w:tcBorders>
          </w:tcPr>
          <w:p>
            <w:pPr>
              <w:pStyle w:val="Normal"/>
              <w:rPr/>
            </w:pPr>
            <w:r>
              <w:rPr>
                <w:rFonts w:eastAsia="DM Sans" w:cs="DM Sans"/>
                <w:sz w:val="22"/>
                <w:szCs w:val="22"/>
              </w:rPr>
              <w:t>50</w:t>
            </w:r>
          </w:p>
        </w:tc>
      </w:tr>
      <w:tr>
        <w:trPr/>
        <w:tc>
          <w:tcPr>
            <w:tcW w:w="2799" w:type="dxa"/>
            <w:tcBorders>
              <w:top w:val="single" w:sz="2" w:space="0" w:color="DDDDDD"/>
              <w:left w:val="single" w:sz="2" w:space="0" w:color="DDDDDD"/>
              <w:bottom w:val="single" w:sz="2" w:space="0" w:color="DDDDDD"/>
              <w:right w:val="single" w:sz="2" w:space="0" w:color="DDDDDD"/>
            </w:tcBorders>
            <w:shd w:fill="FFF8E7" w:val="clear"/>
          </w:tcPr>
          <w:p>
            <w:pPr>
              <w:pStyle w:val="Normal"/>
              <w:rPr/>
            </w:pPr>
            <w:r>
              <w:rPr>
                <w:rFonts w:eastAsia="DM Sans" w:cs="DM Sans"/>
                <w:b/>
                <w:bCs/>
                <w:sz w:val="22"/>
                <w:szCs w:val="22"/>
              </w:rPr>
              <w:t>Portraits « Trajectoires »</w:t>
            </w:r>
          </w:p>
        </w:tc>
        <w:tc>
          <w:tcPr>
            <w:tcW w:w="6226" w:type="dxa"/>
            <w:tcBorders>
              <w:top w:val="single" w:sz="2" w:space="0" w:color="DDDDDD"/>
              <w:left w:val="single" w:sz="2" w:space="0" w:color="DDDDDD"/>
              <w:bottom w:val="single" w:sz="2" w:space="0" w:color="DDDDDD"/>
              <w:right w:val="single" w:sz="2" w:space="0" w:color="DDDDDD"/>
            </w:tcBorders>
          </w:tcPr>
          <w:p>
            <w:pPr>
              <w:pStyle w:val="Normal"/>
              <w:rPr/>
            </w:pPr>
            <w:r>
              <w:rPr>
                <w:rFonts w:eastAsia="DM Sans" w:cs="DM Sans"/>
                <w:sz w:val="22"/>
                <w:szCs w:val="22"/>
              </w:rPr>
              <w:t>30</w:t>
            </w:r>
          </w:p>
        </w:tc>
      </w:tr>
      <w:tr>
        <w:trPr/>
        <w:tc>
          <w:tcPr>
            <w:tcW w:w="2799" w:type="dxa"/>
            <w:tcBorders>
              <w:top w:val="single" w:sz="2" w:space="0" w:color="DDDDDD"/>
              <w:left w:val="single" w:sz="2" w:space="0" w:color="DDDDDD"/>
              <w:bottom w:val="single" w:sz="2" w:space="0" w:color="DDDDDD"/>
              <w:right w:val="single" w:sz="2" w:space="0" w:color="DDDDDD"/>
            </w:tcBorders>
            <w:shd w:fill="FFF8E7" w:val="clear"/>
          </w:tcPr>
          <w:p>
            <w:pPr>
              <w:pStyle w:val="Normal"/>
              <w:rPr/>
            </w:pPr>
            <w:r>
              <w:rPr>
                <w:rFonts w:eastAsia="DM Sans" w:cs="DM Sans"/>
                <w:b/>
                <w:bCs/>
                <w:sz w:val="22"/>
                <w:szCs w:val="22"/>
              </w:rPr>
              <w:t>Langues actives</w:t>
            </w:r>
          </w:p>
        </w:tc>
        <w:tc>
          <w:tcPr>
            <w:tcW w:w="6226" w:type="dxa"/>
            <w:tcBorders>
              <w:top w:val="single" w:sz="2" w:space="0" w:color="DDDDDD"/>
              <w:left w:val="single" w:sz="2" w:space="0" w:color="DDDDDD"/>
              <w:bottom w:val="single" w:sz="2" w:space="0" w:color="DDDDDD"/>
              <w:right w:val="single" w:sz="2" w:space="0" w:color="DDDDDD"/>
            </w:tcBorders>
          </w:tcPr>
          <w:p>
            <w:pPr>
              <w:pStyle w:val="Normal"/>
              <w:rPr/>
            </w:pPr>
            <w:r>
              <w:rPr>
                <w:rFonts w:eastAsia="DM Sans" w:cs="DM Sans"/>
                <w:sz w:val="22"/>
                <w:szCs w:val="22"/>
              </w:rPr>
              <w:t>7 (déjà atteint)</w:t>
            </w:r>
          </w:p>
        </w:tc>
      </w:tr>
      <w:tr>
        <w:trPr/>
        <w:tc>
          <w:tcPr>
            <w:tcW w:w="2799" w:type="dxa"/>
            <w:tcBorders>
              <w:top w:val="single" w:sz="2" w:space="0" w:color="DDDDDD"/>
              <w:left w:val="single" w:sz="2" w:space="0" w:color="DDDDDD"/>
              <w:bottom w:val="single" w:sz="2" w:space="0" w:color="DDDDDD"/>
              <w:right w:val="single" w:sz="2" w:space="0" w:color="DDDDDD"/>
            </w:tcBorders>
            <w:shd w:fill="FFF8E7" w:val="clear"/>
          </w:tcPr>
          <w:p>
            <w:pPr>
              <w:pStyle w:val="Normal"/>
              <w:rPr/>
            </w:pPr>
            <w:r>
              <w:rPr>
                <w:rFonts w:eastAsia="DM Sans" w:cs="DM Sans"/>
                <w:b/>
                <w:bCs/>
                <w:sz w:val="22"/>
                <w:szCs w:val="22"/>
              </w:rPr>
              <w:t>Territoires couverts</w:t>
            </w:r>
          </w:p>
        </w:tc>
        <w:tc>
          <w:tcPr>
            <w:tcW w:w="6226" w:type="dxa"/>
            <w:tcBorders>
              <w:top w:val="single" w:sz="2" w:space="0" w:color="DDDDDD"/>
              <w:left w:val="single" w:sz="2" w:space="0" w:color="DDDDDD"/>
              <w:bottom w:val="single" w:sz="2" w:space="0" w:color="DDDDDD"/>
              <w:right w:val="single" w:sz="2" w:space="0" w:color="DDDDDD"/>
            </w:tcBorders>
          </w:tcPr>
          <w:p>
            <w:pPr>
              <w:pStyle w:val="Normal"/>
              <w:rPr/>
            </w:pPr>
            <w:r>
              <w:rPr>
                <w:rFonts w:eastAsia="DM Sans" w:cs="DM Sans"/>
                <w:sz w:val="22"/>
                <w:szCs w:val="22"/>
              </w:rPr>
              <w:t>4 bassins (Nancy, Pont-à-Mousson, Toul, Lunéville)</w:t>
            </w:r>
          </w:p>
        </w:tc>
      </w:tr>
    </w:tbl>
    <w:p>
      <w:pPr>
        <w:pStyle w:val="Normal"/>
        <w:spacing w:before="0" w:after="100"/>
        <w:rPr/>
      </w:pPr>
      <w:r>
        <w:rPr/>
      </w:r>
    </w:p>
    <w:p>
      <w:pPr>
        <w:pStyle w:val="Normal"/>
        <w:rPr/>
      </w:pPr>
      <w:r>
        <w:rPr/>
      </w:r>
      <w:r>
        <w:br w:type="page"/>
      </w:r>
    </w:p>
    <w:p>
      <w:pPr>
        <w:pStyle w:val="Heading1"/>
        <w:spacing w:before="0" w:after="200"/>
        <w:rPr/>
      </w:pPr>
      <w:r>
        <w:rPr/>
        <w:t>12. Pourquoi développer Les Tisserands dans le cadre de la Serre à Projets ?</w:t>
      </w:r>
    </w:p>
    <w:p>
      <w:pPr>
        <w:pStyle w:val="Normal"/>
        <w:spacing w:before="0" w:after="100"/>
        <w:rPr/>
      </w:pPr>
      <w:r>
        <w:rPr/>
      </w:r>
    </w:p>
    <w:p>
      <w:pPr>
        <w:pStyle w:val="Normal"/>
        <w:spacing w:lineRule="exact" w:line="320" w:before="0" w:after="160"/>
        <w:jc w:val="both"/>
        <w:rPr/>
      </w:pPr>
      <w:r>
        <w:rPr>
          <w:rFonts w:eastAsia="DM Sans" w:cs="DM Sans"/>
          <w:sz w:val="22"/>
          <w:szCs w:val="22"/>
        </w:rPr>
        <w:t xml:space="preserve">Les Tisserands n’est pas un projet sur le papier : c’est une plateforme qui existe, qui fonctionne, et qui est déjà accessible en 7 langues à l’adresse </w:t>
      </w:r>
      <w:r>
        <w:rPr>
          <w:rFonts w:eastAsia="DM Sans" w:cs="DM Sans"/>
          <w:b/>
          <w:bCs/>
          <w:color w:val="D4A017"/>
          <w:sz w:val="22"/>
          <w:szCs w:val="22"/>
        </w:rPr>
        <w:t>www.les-tisserands.org.</w:t>
      </w:r>
      <w:r>
        <w:rPr>
          <w:rFonts w:eastAsia="DM Sans" w:cs="DM Sans"/>
          <w:sz w:val="22"/>
          <w:szCs w:val="22"/>
        </w:rPr>
        <w:t xml:space="preserve"> Ce qui lui manque aujourd’hui, c’est exactement ce que la Serre à Projets propose : un cadre de structuration, un réseau de partenaires territoriaux, et un accompagnement pour passer du prototype à un projet pérenne et ancré dans l’écosystème local.</w:t>
      </w:r>
    </w:p>
    <w:p>
      <w:pPr>
        <w:pStyle w:val="Normal"/>
        <w:spacing w:before="0" w:after="100"/>
        <w:rPr/>
      </w:pPr>
      <w:r>
        <w:rPr/>
      </w:r>
    </w:p>
    <w:p>
      <w:pPr>
        <w:pStyle w:val="Normal"/>
        <w:spacing w:lineRule="exact" w:line="320" w:before="0" w:after="160"/>
        <w:jc w:val="both"/>
        <w:rPr/>
      </w:pPr>
      <w:r>
        <w:rPr>
          <w:rFonts w:eastAsia="DM Sans" w:cs="DM Sans"/>
          <w:sz w:val="22"/>
          <w:szCs w:val="22"/>
        </w:rPr>
        <w:t>Le projet s’inscrit pleinement dans l’Économie Sociale et Solidaire : il est à but non lucratif, open source, au service d’un public fragilisé, et fondé sur la participation des usagers. Il répond directement aux besoins du territoire sud-meurthe-et-mosellan, territoire d’accueil historique des personnes réfugiées.</w:t>
      </w:r>
    </w:p>
    <w:p>
      <w:pPr>
        <w:pStyle w:val="Normal"/>
        <w:spacing w:before="0" w:after="100"/>
        <w:rPr/>
      </w:pPr>
      <w:r>
        <w:rPr/>
      </w:r>
    </w:p>
    <w:p>
      <w:pPr>
        <w:pStyle w:val="Normal"/>
        <w:spacing w:lineRule="exact" w:line="320" w:before="0" w:after="160"/>
        <w:jc w:val="both"/>
        <w:rPr/>
      </w:pPr>
      <w:r>
        <w:rPr>
          <w:rFonts w:eastAsia="DM Sans" w:cs="DM Sans"/>
          <w:sz w:val="22"/>
          <w:szCs w:val="22"/>
        </w:rPr>
        <w:t>Son caractère innovant tient à l’intégration d’une intelligence artificielle multilingue dans un outil citoyen — une première dans le champ de l’aide aux réfugiés en France. Cette innovation n’est pas technologique pour elle-même : elle est au service d’un objectif simple et concret — qu’une personne qui vient d’arriver en France puisse, dans sa langue, comprendre ses droits, trouver un cours de français près de chez elle, et découvrir que d’autres avant elle ont réussi.</w:t>
      </w:r>
    </w:p>
    <w:p>
      <w:pPr>
        <w:pStyle w:val="Normal"/>
        <w:spacing w:before="0" w:after="100"/>
        <w:rPr/>
      </w:pPr>
      <w:r>
        <w:rPr/>
      </w:r>
    </w:p>
    <w:p>
      <w:pPr>
        <w:pStyle w:val="Normal"/>
        <w:spacing w:lineRule="exact" w:line="320" w:before="0" w:after="160"/>
        <w:jc w:val="both"/>
        <w:rPr/>
      </w:pPr>
      <w:r>
        <w:rPr>
          <w:rFonts w:eastAsia="DM Sans" w:cs="DM Sans"/>
          <w:sz w:val="22"/>
          <w:szCs w:val="22"/>
        </w:rPr>
        <w:t xml:space="preserve">La Serre à Projets, par son ancrage dans le Sud Meurthe-et-Moselle, son réseau de partenaires institutionnels et sa méthodologie d’accompagnement, est le cadre idéal pour transformer cette plateforme fonctionnelle en un véritable outil territorial d’intégration, utile </w:t>
      </w:r>
      <w:r>
        <w:rPr>
          <w:rFonts w:eastAsia="DM Sans" w:cs="DM Sans"/>
          <w:sz w:val="22"/>
          <w:szCs w:val="22"/>
        </w:rPr>
        <w:t xml:space="preserve">et </w:t>
      </w:r>
      <w:r>
        <w:rPr>
          <w:rFonts w:eastAsia="DM Sans" w:cs="DM Sans"/>
          <w:sz w:val="22"/>
          <w:szCs w:val="22"/>
        </w:rPr>
        <w:t>durable.</w:t>
      </w:r>
    </w:p>
    <w:p>
      <w:pPr>
        <w:pStyle w:val="Normal"/>
        <w:spacing w:before="0" w:after="100"/>
        <w:rPr/>
      </w:pPr>
      <w:r>
        <w:rPr/>
      </w:r>
    </w:p>
    <w:p>
      <w:pPr>
        <w:pStyle w:val="Normal"/>
        <w:spacing w:before="0" w:after="100"/>
        <w:rPr/>
      </w:pPr>
      <w:r>
        <w:rPr/>
      </w:r>
    </w:p>
    <w:p>
      <w:pPr>
        <w:pStyle w:val="Normal"/>
        <w:jc w:val="center"/>
        <w:rPr/>
      </w:pPr>
      <w:r>
        <w:rPr>
          <w:color w:val="D4A017"/>
          <w:sz w:val="28"/>
          <w:szCs w:val="28"/>
        </w:rPr>
        <w:t>──────────</w:t>
      </w:r>
    </w:p>
    <w:p>
      <w:pPr>
        <w:pStyle w:val="Normal"/>
        <w:spacing w:before="0" w:after="100"/>
        <w:rPr/>
      </w:pPr>
      <w:r>
        <w:rPr/>
      </w:r>
    </w:p>
    <w:p>
      <w:pPr>
        <w:pStyle w:val="Normal"/>
        <w:jc w:val="center"/>
        <w:rPr/>
      </w:pPr>
      <w:r>
        <w:rPr>
          <w:rFonts w:eastAsia="Fraunces" w:cs="Fraunces" w:ascii="Fraunces" w:hAnsi="Fraunces"/>
          <w:i/>
          <w:iCs/>
          <w:color w:val="666666"/>
          <w:sz w:val="24"/>
          <w:szCs w:val="24"/>
        </w:rPr>
        <w:t xml:space="preserve">🧵 </w:t>
      </w:r>
      <w:r>
        <w:rPr>
          <w:rFonts w:eastAsia="Fraunces" w:cs="Fraunces" w:ascii="Fraunces" w:hAnsi="Fraunces"/>
          <w:i/>
          <w:iCs/>
          <w:color w:val="666666"/>
          <w:sz w:val="24"/>
          <w:szCs w:val="24"/>
        </w:rPr>
        <w:t>Les Tisserands — Tisser des liens, fil par fil.</w:t>
      </w:r>
    </w:p>
    <w:sectPr>
      <w:headerReference w:type="default" r:id="rId4"/>
      <w:footerReference w:type="default" r:id="rId5"/>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DM Sans">
    <w:charset w:val="01"/>
    <w:family w:val="roman"/>
    <w:pitch w:val="variable"/>
  </w:font>
  <w:font w:name="Fraunces">
    <w:charset w:val="01"/>
    <w:family w:val="swiss"/>
    <w:pitch w:val="variable"/>
  </w:font>
  <w:font w:name="DM Sans">
    <w:charset w:val="01"/>
    <w:family w:val="swiss"/>
    <w:pitch w:val="variable"/>
  </w:font>
  <w:font w:name="Liberation Sans">
    <w:altName w:val="Arial"/>
    <w:charset w:val="01"/>
    <w:family w:val="swiss"/>
    <w:pitch w:val="variable"/>
  </w:font>
  <w:font w:name="Fraunce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DM Sans" w:cs="DM Sans"/>
        <w:color w:val="999999"/>
        <w:sz w:val="16"/>
        <w:szCs w:val="16"/>
      </w:rPr>
      <w:t xml:space="preserve">Page </w:t>
    </w:r>
    <w:r>
      <w:rPr/>
      <w:fldChar w:fldCharType="begin"/>
    </w:r>
    <w:r>
      <w:rPr/>
      <w:instrText xml:space="preserve"> PAGE </w:instrText>
    </w:r>
    <w:r>
      <w:rPr/>
      <w:fldChar w:fldCharType="separate"/>
    </w:r>
    <w:r>
      <w:rPr/>
      <w:t>13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DM Sans" w:cs="DM Sans"/>
        <w:i/>
        <w:iCs/>
        <w:color w:val="999999"/>
        <w:sz w:val="16"/>
        <w:szCs w:val="16"/>
      </w:rPr>
      <w:t>Les Tisserands — Dossier de candidature — La Serre à Projets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M Sans" w:hAnsi="DM Sans" w:eastAsia="DM Sans" w:cs="DM Sans"/>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left"/>
    </w:pPr>
    <w:rPr>
      <w:rFonts w:ascii="DM Sans" w:hAnsi="DM Sans" w:eastAsia="DM Sans" w:cs="DM Sans"/>
      <w:color w:val="auto"/>
      <w:kern w:val="0"/>
      <w:sz w:val="22"/>
      <w:szCs w:val="22"/>
      <w:lang w:val="fr-FR" w:eastAsia="zh-CN" w:bidi="hi-IN"/>
    </w:rPr>
  </w:style>
  <w:style w:type="paragraph" w:styleId="Heading1">
    <w:name w:val="Heading 1"/>
    <w:basedOn w:val="Heading"/>
    <w:qFormat/>
    <w:pPr>
      <w:spacing w:before="400" w:after="240"/>
      <w:outlineLvl w:val="0"/>
    </w:pPr>
    <w:rPr>
      <w:rFonts w:ascii="Fraunces" w:hAnsi="Fraunces" w:eastAsia="Fraunces" w:cs="Fraunces"/>
      <w:b/>
      <w:bCs/>
      <w:color w:val="0F0E0A"/>
      <w:sz w:val="36"/>
      <w:szCs w:val="36"/>
    </w:rPr>
  </w:style>
  <w:style w:type="paragraph" w:styleId="Heading2">
    <w:name w:val="Heading 2"/>
    <w:basedOn w:val="Heading"/>
    <w:qFormat/>
    <w:pPr>
      <w:spacing w:before="300" w:after="180"/>
      <w:outlineLvl w:val="1"/>
    </w:pPr>
    <w:rPr>
      <w:rFonts w:ascii="Fraunces" w:hAnsi="Fraunces" w:eastAsia="Fraunces" w:cs="Fraunces"/>
      <w:b/>
      <w:bCs/>
      <w:color w:val="D4A017"/>
      <w:sz w:val="28"/>
      <w:szCs w:val="28"/>
    </w:rPr>
  </w:style>
  <w:style w:type="paragraph" w:styleId="Heading3">
    <w:name w:val="Heading 3"/>
    <w:basedOn w:val="Heading"/>
    <w:qFormat/>
    <w:pPr>
      <w:spacing w:before="200" w:after="120"/>
      <w:outlineLvl w:val="2"/>
    </w:pPr>
    <w:rPr>
      <w:rFonts w:ascii="DM Sans" w:hAnsi="DM Sans" w:eastAsia="DM Sans" w:cs="DM Sans"/>
      <w:b/>
      <w:bCs/>
      <w:color w:val="0F0E0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DM Sans" w:hAnsi="DM Sans" w:eastAsia="DM Sans" w:cs="DM Sans"/>
      <w:b/>
      <w:bCs/>
      <w:color w:val="auto"/>
      <w:kern w:val="0"/>
      <w:sz w:val="22"/>
      <w:szCs w:val="22"/>
      <w:lang w:val="fr-FR" w:eastAsia="zh-CN" w:bidi="hi-IN"/>
    </w:rPr>
  </w:style>
  <w:style w:type="paragraph" w:styleId="ListParagraph">
    <w:name w:val="List Paragraph"/>
    <w:qFormat/>
    <w:pPr>
      <w:widowControl/>
      <w:bidi w:val="0"/>
      <w:spacing w:before="0" w:after="0"/>
      <w:jc w:val="left"/>
    </w:pPr>
    <w:rPr>
      <w:rFonts w:ascii="DM Sans" w:hAnsi="DM Sans" w:eastAsia="DM Sans" w:cs="DM Sans"/>
      <w:color w:val="auto"/>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Nicolas.goarant@hotmail.fr" TargetMode="External"/><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60</TotalTime>
  <Application>LibreOffice/24.2.7.2$Linux_X86_64 LibreOffice_project/420$Build-2</Application>
  <AppVersion>15.0000</AppVersion>
  <Pages>13</Pages>
  <Words>2388</Words>
  <Characters>14528</Characters>
  <CharactersWithSpaces>16705</CharactersWithSpaces>
  <Paragraphs>179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2026-02-15T15:22:47Z</dcterms:created>
  <dc:creator>Un-named</dc:creator>
  <dc:description/>
  <dc:language>fr-FR</dc:language>
  <cp:lastModifiedBy/>
  <dcterms:modified xsi:type="dcterms:W3CDTF">2026-02-15T17:33:44Z</dcterms:modified>
  <cp:revision>17</cp:revision>
  <dc:subject/>
  <dc:title/>
</cp:coreProperties>
</file>