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jc w:val="center"/>
      </w:pPr>
      <w:r>
        <w:rPr>
          <w:b/>
          <w:i w:val="0"/>
          <w:color w:val="666666"/>
          <w:sz w:val="26"/>
        </w:rPr>
        <w:t>INFORME TÉCNICO</w:t>
      </w:r>
    </w:p>
    <w:p>
      <w:pPr>
        <w:spacing w:after="80"/>
        <w:jc w:val="center"/>
      </w:pPr>
      <w:r>
        <w:rPr>
          <w:b/>
          <w:i w:val="0"/>
          <w:color w:val="232F3E"/>
          <w:sz w:val="52"/>
        </w:rPr>
        <w:t>Implementación de soluciones en la nube</w:t>
      </w:r>
    </w:p>
    <w:p>
      <w:pPr>
        <w:spacing w:after="800"/>
        <w:jc w:val="center"/>
      </w:pPr>
      <w:r>
        <w:rPr>
          <w:b w:val="0"/>
          <w:i w:val="0"/>
          <w:sz w:val="28"/>
        </w:rPr>
        <w:t>Aplicación web escalable y con alta disponibilidad en AWS</w:t>
      </w:r>
    </w:p>
    <w:tbl>
      <w:tblPr>
        <w:tblStyle w:val="TableGrid"/>
        <w:tblW w:type="auto" w:w="0"/>
        <w:jc w:val="center"/>
        <w:tblLook w:firstColumn="1" w:firstRow="1" w:lastColumn="0" w:lastRow="0" w:noHBand="0" w:noVBand="1" w:val="04A0"/>
      </w:tblPr>
      <w:tblGrid>
        <w:gridCol w:w="4816"/>
        <w:gridCol w:w="4816"/>
      </w:tblGrid>
      <w:tr>
        <w:tc>
          <w:tcPr>
            <w:tcW w:type="dxa" w:w="3118"/>
            <w:shd w:val="clear" w:color="auto" w:fill="F1F4F7"/>
          </w:tcPr>
          <w:p>
            <w:pPr>
              <w:spacing w:after="40"/>
            </w:pPr>
            <w:r/>
            <w:r>
              <w:rPr>
                <w:b/>
                <w:sz w:val="20"/>
              </w:rPr>
              <w:t>Asignatura</w:t>
            </w:r>
          </w:p>
        </w:tc>
        <w:tc>
          <w:tcPr>
            <w:tcW w:type="dxa" w:w="5953"/>
          </w:tcPr>
          <w:p>
            <w:pPr>
              <w:spacing w:after="40"/>
            </w:pPr>
            <w:r/>
            <w:r>
              <w:rPr>
                <w:sz w:val="20"/>
              </w:rPr>
              <w:t>CCY0010 · Soluciones Cloud</w:t>
            </w:r>
          </w:p>
        </w:tc>
      </w:tr>
      <w:tr>
        <w:tc>
          <w:tcPr>
            <w:tcW w:type="dxa" w:w="3118"/>
            <w:shd w:val="clear" w:color="auto" w:fill="F1F4F7"/>
          </w:tcPr>
          <w:p>
            <w:pPr>
              <w:spacing w:after="40"/>
            </w:pPr>
            <w:r/>
            <w:r>
              <w:rPr>
                <w:b/>
                <w:sz w:val="20"/>
              </w:rPr>
              <w:t>Evaluación</w:t>
            </w:r>
          </w:p>
        </w:tc>
        <w:tc>
          <w:tcPr>
            <w:tcW w:type="dxa" w:w="5953"/>
          </w:tcPr>
          <w:p>
            <w:pPr>
              <w:spacing w:after="40"/>
            </w:pPr>
            <w:r/>
            <w:r>
              <w:rPr>
                <w:sz w:val="20"/>
              </w:rPr>
              <w:t>Evaluación Parcial 2 (40 %) · Encargo individual</w:t>
            </w:r>
          </w:p>
        </w:tc>
      </w:tr>
      <w:tr>
        <w:tc>
          <w:tcPr>
            <w:tcW w:type="dxa" w:w="3118"/>
            <w:shd w:val="clear" w:color="auto" w:fill="F1F4F7"/>
          </w:tcPr>
          <w:p>
            <w:pPr>
              <w:spacing w:after="40"/>
            </w:pPr>
            <w:r/>
            <w:r>
              <w:rPr>
                <w:b/>
                <w:sz w:val="20"/>
              </w:rPr>
              <w:t>Estudiante</w:t>
            </w:r>
          </w:p>
        </w:tc>
        <w:tc>
          <w:tcPr>
            <w:tcW w:type="dxa" w:w="5953"/>
          </w:tcPr>
          <w:p>
            <w:pPr>
              <w:spacing w:after="40"/>
            </w:pPr>
            <w:r/>
            <w:r>
              <w:rPr>
                <w:sz w:val="20"/>
              </w:rPr>
              <w:t>N. Saldivia</w:t>
            </w:r>
          </w:p>
        </w:tc>
      </w:tr>
      <w:tr>
        <w:tc>
          <w:tcPr>
            <w:tcW w:type="dxa" w:w="3118"/>
            <w:shd w:val="clear" w:color="auto" w:fill="F1F4F7"/>
          </w:tcPr>
          <w:p>
            <w:pPr>
              <w:spacing w:after="40"/>
            </w:pPr>
            <w:r/>
            <w:r>
              <w:rPr>
                <w:b/>
                <w:sz w:val="20"/>
              </w:rPr>
              <w:t>Iniciales de identificación</w:t>
            </w:r>
          </w:p>
        </w:tc>
        <w:tc>
          <w:tcPr>
            <w:tcW w:type="dxa" w:w="5953"/>
          </w:tcPr>
          <w:p>
            <w:pPr>
              <w:spacing w:after="40"/>
            </w:pPr>
            <w:r/>
            <w:r>
              <w:rPr>
                <w:sz w:val="20"/>
              </w:rPr>
              <w:t>NSG</w:t>
            </w:r>
          </w:p>
        </w:tc>
      </w:tr>
      <w:tr>
        <w:tc>
          <w:tcPr>
            <w:tcW w:type="dxa" w:w="3118"/>
            <w:shd w:val="clear" w:color="auto" w:fill="F1F4F7"/>
          </w:tcPr>
          <w:p>
            <w:pPr>
              <w:spacing w:after="40"/>
            </w:pPr>
            <w:r/>
            <w:r>
              <w:rPr>
                <w:b/>
                <w:sz w:val="20"/>
              </w:rPr>
              <w:t>Plataforma</w:t>
            </w:r>
          </w:p>
        </w:tc>
        <w:tc>
          <w:tcPr>
            <w:tcW w:type="dxa" w:w="5953"/>
          </w:tcPr>
          <w:p>
            <w:pPr>
              <w:spacing w:after="40"/>
            </w:pPr>
            <w:r/>
            <w:r>
              <w:rPr>
                <w:sz w:val="20"/>
              </w:rPr>
              <w:t>AWS Academy Learner Lab · región us-east-1 (N. Virginia)</w:t>
            </w:r>
          </w:p>
        </w:tc>
      </w:tr>
      <w:tr>
        <w:tc>
          <w:tcPr>
            <w:tcW w:type="dxa" w:w="3118"/>
            <w:shd w:val="clear" w:color="auto" w:fill="F1F4F7"/>
          </w:tcPr>
          <w:p>
            <w:pPr>
              <w:spacing w:after="40"/>
            </w:pPr>
            <w:r/>
            <w:r>
              <w:rPr>
                <w:b/>
                <w:sz w:val="20"/>
              </w:rPr>
              <w:t>Fecha</w:t>
            </w:r>
          </w:p>
        </w:tc>
        <w:tc>
          <w:tcPr>
            <w:tcW w:type="dxa" w:w="5953"/>
          </w:tcPr>
          <w:p>
            <w:pPr>
              <w:spacing w:after="40"/>
            </w:pPr>
            <w:r/>
            <w:r>
              <w:rPr>
                <w:sz w:val="20"/>
              </w:rPr>
              <w:t>14 de octubre de 2026</w:t>
            </w:r>
          </w:p>
        </w:tc>
      </w:tr>
    </w:tbl>
    <w:p>
      <w:pPr>
        <w:spacing w:after="40"/>
      </w:pPr>
    </w:p>
    <w:p>
      <w:r>
        <w:br w:type="page"/>
      </w:r>
    </w:p>
    <w:p>
      <w:pPr>
        <w:pStyle w:val="Heading1"/>
      </w:pPr>
      <w:r>
        <w:t>1. Introducción y objetivo</w:t>
      </w:r>
    </w:p>
    <w:p>
      <w:r>
        <w:rPr>
          <w:b w:val="0"/>
          <w:i w:val="0"/>
        </w:rPr>
        <w:t>Este informe documenta la implementación de una aplicación web escalable y con alta disponibilidad en Amazon Web Services (AWS), desarrollada en el Learner Lab de AWS Academy. La solución integra una red virtual propia (VPC), instancias EC2 lanzadas desde una plantilla, un grupo de Auto Scaling, un balanceador de carga de aplicación (ALB) y una función serverless (Lambda).</w:t>
      </w:r>
    </w:p>
    <w:p>
      <w:r>
        <w:rPr>
          <w:b w:val="0"/>
          <w:i w:val="0"/>
        </w:rPr>
        <w:t>El objetivo es aplicar arquitecturas de red, cómputo, escalabilidad y balanceo de carga en la nube, dejando evidencia de cada recurso creado. Para validar la autoría, todos los recursos incluyen las iniciales NSG en su nombre.</w:t>
      </w:r>
    </w:p>
    <w:p>
      <w:pPr>
        <w:pStyle w:val="Heading1"/>
      </w:pPr>
      <w:r>
        <w:t>2. Arquitectura de la solución</w:t>
      </w:r>
    </w:p>
    <w:p>
      <w:r>
        <w:rPr>
          <w:b w:val="0"/>
          <w:i w:val="0"/>
        </w:rPr>
        <w:t>El tráfico de los usuarios entra por Internet, atraviesa el Internet Gateway y llega al ALB público. El ALB distribuye las solicitudes HTTP entre las instancias EC2 del grupo de Auto Scaling, que se reparten en dos subredes públicas ubicadas en zonas de disponibilidad distintas (us-east-1a y us-east-1b). La función Lambda opera de forma independiente y aislada.</w:t>
      </w:r>
    </w:p>
    <w:p>
      <w:pPr>
        <w:keepNext/>
        <w:spacing w:after="40"/>
        <w:jc w:val="center"/>
      </w:pPr>
      <w:r>
        <w:drawing>
          <wp:inline xmlns:a="http://schemas.openxmlformats.org/drawingml/2006/main" xmlns:pic="http://schemas.openxmlformats.org/drawingml/2006/picture">
            <wp:extent cx="5832000" cy="3838187"/>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5832000" cy="3838187"/>
                    </a:xfrm>
                    <a:prstGeom prst="rect"/>
                  </pic:spPr>
                </pic:pic>
              </a:graphicData>
            </a:graphic>
          </wp:inline>
        </w:drawing>
      </w:r>
    </w:p>
    <w:p>
      <w:pPr>
        <w:spacing w:after="200"/>
        <w:jc w:val="center"/>
      </w:pPr>
      <w:r>
        <w:rPr>
          <w:b w:val="0"/>
          <w:i/>
          <w:color w:val="555555"/>
          <w:sz w:val="19"/>
        </w:rPr>
        <w:t>Figura 1. Diagrama de arquitectura de la solución.</w:t>
      </w:r>
    </w:p>
    <w:p>
      <w:pPr>
        <w:pStyle w:val="Heading2"/>
      </w:pPr>
      <w:r>
        <w:t>Inventario de recursos</w:t>
      </w:r>
    </w:p>
    <w:tbl>
      <w:tblPr>
        <w:tblStyle w:val="TableGrid"/>
        <w:tblW w:type="auto" w:w="0"/>
        <w:jc w:val="center"/>
        <w:tblLook w:firstColumn="1" w:firstRow="1" w:lastColumn="0" w:lastRow="0" w:noHBand="0" w:noVBand="1" w:val="04A0"/>
      </w:tblPr>
      <w:tblGrid>
        <w:gridCol w:w="3211"/>
        <w:gridCol w:w="3211"/>
        <w:gridCol w:w="3211"/>
      </w:tblGrid>
      <w:tr>
        <w:tc>
          <w:tcPr>
            <w:tcW w:type="dxa" w:w="1814"/>
            <w:shd w:val="clear" w:color="auto" w:fill="232F3E"/>
          </w:tcPr>
          <w:p>
            <w:pPr>
              <w:spacing w:after="40"/>
            </w:pPr>
            <w:r/>
            <w:r>
              <w:rPr>
                <w:b/>
                <w:color w:val="FFFFFF"/>
                <w:sz w:val="20"/>
              </w:rPr>
              <w:t>Servicio</w:t>
            </w:r>
          </w:p>
        </w:tc>
        <w:tc>
          <w:tcPr>
            <w:tcW w:type="dxa" w:w="3855"/>
            <w:shd w:val="clear" w:color="auto" w:fill="232F3E"/>
          </w:tcPr>
          <w:p>
            <w:pPr>
              <w:spacing w:after="40"/>
            </w:pPr>
            <w:r/>
            <w:r>
              <w:rPr>
                <w:b/>
                <w:color w:val="FFFFFF"/>
                <w:sz w:val="20"/>
              </w:rPr>
              <w:t>Recurso</w:t>
            </w:r>
          </w:p>
        </w:tc>
        <w:tc>
          <w:tcPr>
            <w:tcW w:type="dxa" w:w="3402"/>
            <w:shd w:val="clear" w:color="auto" w:fill="232F3E"/>
          </w:tcPr>
          <w:p>
            <w:pPr>
              <w:spacing w:after="40"/>
            </w:pPr>
            <w:r/>
            <w:r>
              <w:rPr>
                <w:b/>
                <w:color w:val="FFFFFF"/>
                <w:sz w:val="20"/>
              </w:rPr>
              <w:t>Detalle</w:t>
            </w:r>
          </w:p>
        </w:tc>
      </w:tr>
      <w:tr>
        <w:tc>
          <w:tcPr>
            <w:tcW w:type="dxa" w:w="1814"/>
            <w:shd w:val="clear" w:color="auto" w:fill="F1F4F7"/>
          </w:tcPr>
          <w:p>
            <w:pPr>
              <w:spacing w:after="40"/>
            </w:pPr>
            <w:r/>
            <w:r>
              <w:rPr>
                <w:b/>
                <w:sz w:val="20"/>
              </w:rPr>
              <w:t>VPC</w:t>
            </w:r>
          </w:p>
        </w:tc>
        <w:tc>
          <w:tcPr>
            <w:tcW w:type="dxa" w:w="3855"/>
          </w:tcPr>
          <w:p>
            <w:pPr>
              <w:spacing w:after="40"/>
            </w:pPr>
            <w:r/>
            <w:r>
              <w:rPr>
                <w:sz w:val="20"/>
              </w:rPr>
              <w:t>VPC-NSG</w:t>
            </w:r>
          </w:p>
        </w:tc>
        <w:tc>
          <w:tcPr>
            <w:tcW w:type="dxa" w:w="3402"/>
          </w:tcPr>
          <w:p>
            <w:pPr>
              <w:spacing w:after="40"/>
            </w:pPr>
            <w:r/>
            <w:r>
              <w:rPr>
                <w:sz w:val="20"/>
              </w:rPr>
              <w:t>CIDR 10.0.0.0/16 · DNS habilitado</w:t>
            </w:r>
          </w:p>
        </w:tc>
      </w:tr>
      <w:tr>
        <w:tc>
          <w:tcPr>
            <w:tcW w:type="dxa" w:w="1814"/>
            <w:shd w:val="clear" w:color="auto" w:fill="F1F4F7"/>
          </w:tcPr>
          <w:p>
            <w:pPr>
              <w:spacing w:after="40"/>
            </w:pPr>
            <w:r/>
            <w:r>
              <w:rPr>
                <w:b/>
                <w:sz w:val="20"/>
              </w:rPr>
              <w:t>Subredes</w:t>
            </w:r>
          </w:p>
        </w:tc>
        <w:tc>
          <w:tcPr>
            <w:tcW w:type="dxa" w:w="3855"/>
          </w:tcPr>
          <w:p>
            <w:pPr>
              <w:spacing w:after="40"/>
            </w:pPr>
            <w:r/>
            <w:r>
              <w:rPr>
                <w:sz w:val="20"/>
              </w:rPr>
              <w:t>Subnet-Pub-1a-NSG / Subnet-Pub-1b-NSG</w:t>
            </w:r>
          </w:p>
        </w:tc>
        <w:tc>
          <w:tcPr>
            <w:tcW w:type="dxa" w:w="3402"/>
          </w:tcPr>
          <w:p>
            <w:pPr>
              <w:spacing w:after="40"/>
            </w:pPr>
            <w:r/>
            <w:r>
              <w:rPr>
                <w:sz w:val="20"/>
              </w:rPr>
              <w:t>us-east-1a / us-east-1b</w:t>
            </w:r>
          </w:p>
        </w:tc>
      </w:tr>
      <w:tr>
        <w:tc>
          <w:tcPr>
            <w:tcW w:type="dxa" w:w="1814"/>
            <w:shd w:val="clear" w:color="auto" w:fill="F1F4F7"/>
          </w:tcPr>
          <w:p>
            <w:pPr>
              <w:spacing w:after="40"/>
            </w:pPr>
            <w:r/>
            <w:r>
              <w:rPr>
                <w:b/>
                <w:sz w:val="20"/>
              </w:rPr>
              <w:t>Conectividad</w:t>
            </w:r>
          </w:p>
        </w:tc>
        <w:tc>
          <w:tcPr>
            <w:tcW w:type="dxa" w:w="3855"/>
          </w:tcPr>
          <w:p>
            <w:pPr>
              <w:spacing w:after="40"/>
            </w:pPr>
            <w:r/>
            <w:r>
              <w:rPr>
                <w:sz w:val="20"/>
              </w:rPr>
              <w:t>IGW-NSG · RT-Main-NSG</w:t>
            </w:r>
          </w:p>
        </w:tc>
        <w:tc>
          <w:tcPr>
            <w:tcW w:type="dxa" w:w="3402"/>
          </w:tcPr>
          <w:p>
            <w:pPr>
              <w:spacing w:after="40"/>
            </w:pPr>
            <w:r/>
            <w:r>
              <w:rPr>
                <w:sz w:val="20"/>
              </w:rPr>
              <w:t>Salida a Internet y tabla de rutas</w:t>
            </w:r>
          </w:p>
        </w:tc>
      </w:tr>
      <w:tr>
        <w:tc>
          <w:tcPr>
            <w:tcW w:type="dxa" w:w="1814"/>
            <w:shd w:val="clear" w:color="auto" w:fill="F1F4F7"/>
          </w:tcPr>
          <w:p>
            <w:pPr>
              <w:spacing w:after="40"/>
            </w:pPr>
            <w:r/>
            <w:r>
              <w:rPr>
                <w:b/>
                <w:sz w:val="20"/>
              </w:rPr>
              <w:t>Seguridad</w:t>
            </w:r>
          </w:p>
        </w:tc>
        <w:tc>
          <w:tcPr>
            <w:tcW w:type="dxa" w:w="3855"/>
          </w:tcPr>
          <w:p>
            <w:pPr>
              <w:spacing w:after="40"/>
            </w:pPr>
            <w:r/>
            <w:r>
              <w:rPr>
                <w:sz w:val="20"/>
              </w:rPr>
              <w:t>SG-ALB-NSG · SG-EC2-NSG</w:t>
            </w:r>
          </w:p>
        </w:tc>
        <w:tc>
          <w:tcPr>
            <w:tcW w:type="dxa" w:w="3402"/>
          </w:tcPr>
          <w:p>
            <w:pPr>
              <w:spacing w:after="40"/>
            </w:pPr>
            <w:r/>
            <w:r>
              <w:rPr>
                <w:sz w:val="20"/>
              </w:rPr>
              <w:t>Firewall del ALB y de las instancias</w:t>
            </w:r>
          </w:p>
        </w:tc>
      </w:tr>
      <w:tr>
        <w:tc>
          <w:tcPr>
            <w:tcW w:type="dxa" w:w="1814"/>
            <w:shd w:val="clear" w:color="auto" w:fill="F1F4F7"/>
          </w:tcPr>
          <w:p>
            <w:pPr>
              <w:spacing w:after="40"/>
            </w:pPr>
            <w:r/>
            <w:r>
              <w:rPr>
                <w:b/>
                <w:sz w:val="20"/>
              </w:rPr>
              <w:t>Cómputo</w:t>
            </w:r>
          </w:p>
        </w:tc>
        <w:tc>
          <w:tcPr>
            <w:tcW w:type="dxa" w:w="3855"/>
          </w:tcPr>
          <w:p>
            <w:pPr>
              <w:spacing w:after="40"/>
            </w:pPr>
            <w:r/>
            <w:r>
              <w:rPr>
                <w:sz w:val="20"/>
              </w:rPr>
              <w:t>LT-NSG</w:t>
            </w:r>
          </w:p>
        </w:tc>
        <w:tc>
          <w:tcPr>
            <w:tcW w:type="dxa" w:w="3402"/>
          </w:tcPr>
          <w:p>
            <w:pPr>
              <w:spacing w:after="40"/>
            </w:pPr>
            <w:r/>
            <w:r>
              <w:rPr>
                <w:sz w:val="20"/>
              </w:rPr>
              <w:t>t2.micro · Amazon Linux · User Data con Apache</w:t>
            </w:r>
          </w:p>
        </w:tc>
      </w:tr>
      <w:tr>
        <w:tc>
          <w:tcPr>
            <w:tcW w:type="dxa" w:w="1814"/>
            <w:shd w:val="clear" w:color="auto" w:fill="F1F4F7"/>
          </w:tcPr>
          <w:p>
            <w:pPr>
              <w:spacing w:after="40"/>
            </w:pPr>
            <w:r/>
            <w:r>
              <w:rPr>
                <w:b/>
                <w:sz w:val="20"/>
              </w:rPr>
              <w:t>Serverless</w:t>
            </w:r>
          </w:p>
        </w:tc>
        <w:tc>
          <w:tcPr>
            <w:tcW w:type="dxa" w:w="3855"/>
          </w:tcPr>
          <w:p>
            <w:pPr>
              <w:spacing w:after="40"/>
            </w:pPr>
            <w:r/>
            <w:r>
              <w:rPr>
                <w:sz w:val="20"/>
              </w:rPr>
              <w:t>Lambda-NSG</w:t>
            </w:r>
          </w:p>
        </w:tc>
        <w:tc>
          <w:tcPr>
            <w:tcW w:type="dxa" w:w="3402"/>
          </w:tcPr>
          <w:p>
            <w:pPr>
              <w:spacing w:after="40"/>
            </w:pPr>
            <w:r/>
            <w:r>
              <w:rPr>
                <w:sz w:val="20"/>
              </w:rPr>
              <w:t>Python · respuesta JSON</w:t>
            </w:r>
          </w:p>
        </w:tc>
      </w:tr>
      <w:tr>
        <w:tc>
          <w:tcPr>
            <w:tcW w:type="dxa" w:w="1814"/>
            <w:shd w:val="clear" w:color="auto" w:fill="F1F4F7"/>
          </w:tcPr>
          <w:p>
            <w:pPr>
              <w:spacing w:after="40"/>
            </w:pPr>
            <w:r/>
            <w:r>
              <w:rPr>
                <w:b/>
                <w:sz w:val="20"/>
              </w:rPr>
              <w:t>Balanceo</w:t>
            </w:r>
          </w:p>
        </w:tc>
        <w:tc>
          <w:tcPr>
            <w:tcW w:type="dxa" w:w="3855"/>
          </w:tcPr>
          <w:p>
            <w:pPr>
              <w:spacing w:after="40"/>
            </w:pPr>
            <w:r/>
            <w:r>
              <w:rPr>
                <w:sz w:val="20"/>
              </w:rPr>
              <w:t>TG-NSG · ALB-NSG</w:t>
            </w:r>
          </w:p>
        </w:tc>
        <w:tc>
          <w:tcPr>
            <w:tcW w:type="dxa" w:w="3402"/>
          </w:tcPr>
          <w:p>
            <w:pPr>
              <w:spacing w:after="40"/>
            </w:pPr>
            <w:r/>
            <w:r>
              <w:rPr>
                <w:sz w:val="20"/>
              </w:rPr>
              <w:t>HTTP:80 · público (Internet-facing)</w:t>
            </w:r>
          </w:p>
        </w:tc>
      </w:tr>
      <w:tr>
        <w:tc>
          <w:tcPr>
            <w:tcW w:type="dxa" w:w="1814"/>
            <w:shd w:val="clear" w:color="auto" w:fill="F1F4F7"/>
          </w:tcPr>
          <w:p>
            <w:pPr>
              <w:spacing w:after="40"/>
            </w:pPr>
            <w:r/>
            <w:r>
              <w:rPr>
                <w:b/>
                <w:sz w:val="20"/>
              </w:rPr>
              <w:t>Escalabilidad</w:t>
            </w:r>
          </w:p>
        </w:tc>
        <w:tc>
          <w:tcPr>
            <w:tcW w:type="dxa" w:w="3855"/>
          </w:tcPr>
          <w:p>
            <w:pPr>
              <w:spacing w:after="40"/>
            </w:pPr>
            <w:r/>
            <w:r>
              <w:rPr>
                <w:sz w:val="20"/>
              </w:rPr>
              <w:t>ASG-NSG</w:t>
            </w:r>
          </w:p>
        </w:tc>
        <w:tc>
          <w:tcPr>
            <w:tcW w:type="dxa" w:w="3402"/>
          </w:tcPr>
          <w:p>
            <w:pPr>
              <w:spacing w:after="40"/>
            </w:pPr>
            <w:r/>
            <w:r>
              <w:rPr>
                <w:sz w:val="20"/>
              </w:rPr>
              <w:t>Mín 2 · Deseado 2 · Máx 4</w:t>
            </w:r>
          </w:p>
        </w:tc>
      </w:tr>
    </w:tbl>
    <w:p>
      <w:pPr>
        <w:spacing w:after="40"/>
      </w:pPr>
    </w:p>
    <w:p>
      <w:pPr>
        <w:pStyle w:val="Heading1"/>
      </w:pPr>
      <w:r>
        <w:t>3. Desarrollo técnico y evidencias</w:t>
      </w:r>
    </w:p>
    <w:p>
      <w:pPr>
        <w:pStyle w:val="Heading2"/>
      </w:pPr>
      <w:r>
        <w:t>3.1 Red: VPC, subredes, Internet Gateway y rutas</w:t>
      </w:r>
    </w:p>
    <w:p>
      <w:r>
        <w:rPr>
          <w:b w:val="0"/>
          <w:i w:val="0"/>
        </w:rPr>
        <w:t>Se creó la VPC personalizada VPC-NSG con el bloque CIDR 10.0.0.0/16, con resolución de DNS y nombres de host habilitados. Dentro de ella se definieron dos subredes públicas en zonas de disponibilidad distintas: Subnet-Pub-1a-NSG en us-east-1a y Subnet-Pub-1b-NSG en us-east-1b, lo que permite tolerar la caída de una zona completa.</w:t>
      </w:r>
    </w:p>
    <w:p>
      <w:r>
        <w:rPr>
          <w:b w:val="0"/>
          <w:i w:val="0"/>
        </w:rPr>
        <w:t>Para dar acceso público se asoció el Internet Gateway IGW-NSG a la VPC y se configuró la tabla de rutas RT-Main-NSG con una ruta 10.0.0.0/16 local y la ruta por defecto hacia el IGW, asociada a ambas subredes. El mapa de recursos muestra la relación entre subredes, tabla de rutas y puerta de enlace.</w:t>
      </w:r>
    </w:p>
    <w:p>
      <w:pPr>
        <w:keepNext/>
        <w:spacing w:after="40"/>
        <w:jc w:val="center"/>
      </w:pPr>
      <w:r>
        <w:drawing>
          <wp:inline xmlns:a="http://schemas.openxmlformats.org/drawingml/2006/main" xmlns:pic="http://schemas.openxmlformats.org/drawingml/2006/picture">
            <wp:extent cx="6048000" cy="2992500"/>
            <wp:docPr id="2" name="Picture 2"/>
            <wp:cNvGraphicFramePr>
              <a:graphicFrameLocks noChangeAspect="1"/>
            </wp:cNvGraphicFramePr>
            <a:graphic>
              <a:graphicData uri="http://schemas.openxmlformats.org/drawingml/2006/picture">
                <pic:pic>
                  <pic:nvPicPr>
                    <pic:cNvPr id="0" name="image3.png"/>
                    <pic:cNvPicPr/>
                  </pic:nvPicPr>
                  <pic:blipFill>
                    <a:blip r:embed="rId10"/>
                    <a:stretch>
                      <a:fillRect/>
                    </a:stretch>
                  </pic:blipFill>
                  <pic:spPr>
                    <a:xfrm>
                      <a:off x="0" y="0"/>
                      <a:ext cx="6048000" cy="2992500"/>
                    </a:xfrm>
                    <a:prstGeom prst="rect"/>
                  </pic:spPr>
                </pic:pic>
              </a:graphicData>
            </a:graphic>
          </wp:inline>
        </w:drawing>
      </w:r>
    </w:p>
    <w:p>
      <w:pPr>
        <w:spacing w:after="200"/>
        <w:jc w:val="center"/>
      </w:pPr>
      <w:r>
        <w:rPr>
          <w:b w:val="0"/>
          <w:i/>
          <w:color w:val="555555"/>
          <w:sz w:val="19"/>
        </w:rPr>
        <w:t>Figura 2. Mapa de recursos de VPC-NSG: subredes en us-east-1a y us-east-1b, tabla de rutas RT-Main-NSG e IGW-NSG.</w:t>
      </w:r>
    </w:p>
    <w:p>
      <w:pPr>
        <w:pStyle w:val="Heading2"/>
      </w:pPr>
      <w:r>
        <w:t>3.2 Seguridad: Security Groups</w:t>
      </w:r>
    </w:p>
    <w:p>
      <w:r>
        <w:rPr>
          <w:b w:val="0"/>
          <w:i w:val="0"/>
        </w:rPr>
        <w:t>Se crearon dos grupos de seguridad en VPC-NSG siguiendo el principio de mínimo privilegio. SG-ALB-NSG protege al balanceador y recibe el tráfico HTTP de los usuarios. SG-EC2-NSG se asigna a las instancias del Auto Scaling y solo habilita el tráfico necesario (HTTP para el servidor web y SSH para administración). Separar ambos grupos permite controlar de forma independiente la entrada pública y el acceso a los servidores.</w:t>
      </w:r>
    </w:p>
    <w:p>
      <w:pPr>
        <w:keepNext/>
        <w:spacing w:after="40"/>
        <w:jc w:val="center"/>
      </w:pPr>
      <w:r>
        <w:drawing>
          <wp:inline xmlns:a="http://schemas.openxmlformats.org/drawingml/2006/main" xmlns:pic="http://schemas.openxmlformats.org/drawingml/2006/picture">
            <wp:extent cx="6048000" cy="2984563"/>
            <wp:docPr id="3" name="Picture 3"/>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6048000" cy="2984563"/>
                    </a:xfrm>
                    <a:prstGeom prst="rect"/>
                  </pic:spPr>
                </pic:pic>
              </a:graphicData>
            </a:graphic>
          </wp:inline>
        </w:drawing>
      </w:r>
    </w:p>
    <w:p>
      <w:pPr>
        <w:spacing w:after="200"/>
        <w:jc w:val="center"/>
      </w:pPr>
      <w:r>
        <w:rPr>
          <w:b w:val="0"/>
          <w:i/>
          <w:color w:val="555555"/>
          <w:sz w:val="19"/>
        </w:rPr>
        <w:t>Figura 3. Creación de SG-EC2-NSG y SG-ALB-NSG en la VPC-NSG.</w:t>
      </w:r>
    </w:p>
    <w:p>
      <w:pPr>
        <w:pStyle w:val="Heading2"/>
      </w:pPr>
      <w:r>
        <w:t>3.3 Cómputo: Launch Template (LT-NSG)</w:t>
      </w:r>
    </w:p>
    <w:p>
      <w:r>
        <w:rPr>
          <w:b w:val="0"/>
          <w:i w:val="0"/>
        </w:rPr>
        <w:t>La plantilla de lanzamiento LT-NSG define cómo se crean las instancias del grupo: AMI Amazon Linux, tipo t2.micro, par de claves vockey, grupo de seguridad SG-EC2-NSG y metadatos con IMDSv2 obligatorio (token requerido), una práctica de seguridad recomendada.</w:t>
      </w:r>
    </w:p>
    <w:p>
      <w:r>
        <w:rPr>
          <w:b w:val="0"/>
          <w:i w:val="0"/>
        </w:rPr>
        <w:t>En el campo User Data se incluyó un script que, al iniciar la instancia, instala Apache (httpd), lo habilita para que arranque con el sistema y genera un index.html que muestra el hostname, el ID de instancia y la zona de disponibilidad. Así, al recargar la página a través del ALB se puede comprobar qué instancia atiende cada solicitud.</w:t>
      </w:r>
    </w:p>
    <w:p>
      <w:pPr>
        <w:spacing w:after="40"/>
      </w:pPr>
      <w:r>
        <w:rPr>
          <w:b/>
          <w:i w:val="0"/>
        </w:rPr>
        <w:t>Script de User Data utilizado:</w:t>
      </w:r>
    </w:p>
    <w:p>
      <w:pPr>
        <w:spacing w:after="160"/>
        <w:ind w:left="283"/>
      </w:pPr>
      <w:r>
        <w:rPr>
          <w:rFonts w:ascii="Consolas" w:hAnsi="Consolas"/>
          <w:sz w:val="17"/>
        </w:rPr>
        <w:t>#!/bin/bash</w:t>
      </w:r>
      <w:r>
        <w:br/>
      </w:r>
      <w:r>
        <w:rPr>
          <w:rFonts w:ascii="Consolas" w:hAnsi="Consolas"/>
          <w:sz w:val="17"/>
        </w:rPr>
        <w:t>dnf install -y httpd</w:t>
      </w:r>
      <w:r>
        <w:br/>
      </w:r>
      <w:r>
        <w:rPr>
          <w:rFonts w:ascii="Consolas" w:hAnsi="Consolas"/>
          <w:sz w:val="17"/>
        </w:rPr>
        <w:t>systemctl enable --now httpd</w:t>
      </w:r>
      <w:r>
        <w:br/>
      </w:r>
      <w:r>
        <w:rPr>
          <w:rFonts w:ascii="Consolas" w:hAnsi="Consolas"/>
          <w:sz w:val="17"/>
        </w:rPr>
        <w:t>TOKEN=$(curl -s -X PUT "http://169.254.169.254/latest/api/token" -H "X-aws-ec2-metadata-token-ttl-seconds: 21600")</w:t>
      </w:r>
      <w:r>
        <w:br/>
      </w:r>
      <w:r>
        <w:rPr>
          <w:rFonts w:ascii="Consolas" w:hAnsi="Consolas"/>
          <w:sz w:val="17"/>
        </w:rPr>
        <w:t>IID=$(curl -s -H "X-aws-ec2-metadata-token: $TOKEN" http://169.254.169.254/latest/meta-data/instance-id)</w:t>
      </w:r>
      <w:r>
        <w:br/>
      </w:r>
      <w:r>
        <w:rPr>
          <w:rFonts w:ascii="Consolas" w:hAnsi="Consolas"/>
          <w:sz w:val="17"/>
        </w:rPr>
        <w:t>AZ=$(curl -s -H "X-aws-ec2-metadata-token: $TOKEN" http://169.254.169.254/latest/meta-data/placement/availability-zone)</w:t>
      </w:r>
      <w:r>
        <w:br/>
      </w:r>
      <w:r>
        <w:rPr>
          <w:rFonts w:ascii="Consolas" w:hAnsi="Consolas"/>
          <w:sz w:val="17"/>
        </w:rPr>
        <w:t>cat &gt; /var/www/html/index.html &lt;&lt;EOF</w:t>
      </w:r>
      <w:r>
        <w:br/>
      </w:r>
      <w:r>
        <w:rPr>
          <w:rFonts w:ascii="Consolas" w:hAnsi="Consolas"/>
          <w:sz w:val="17"/>
        </w:rPr>
        <w:t>&lt;h1&gt;Servidor Apache - CAAF&lt;/h1&gt;</w:t>
      </w:r>
      <w:r>
        <w:br/>
      </w:r>
      <w:r>
        <w:rPr>
          <w:rFonts w:ascii="Consolas" w:hAnsi="Consolas"/>
          <w:sz w:val="17"/>
        </w:rPr>
        <w:t>&lt;p&gt;Hostname: $(hostname -f)&lt;/p&gt;</w:t>
      </w:r>
      <w:r>
        <w:br/>
      </w:r>
      <w:r>
        <w:rPr>
          <w:rFonts w:ascii="Consolas" w:hAnsi="Consolas"/>
          <w:sz w:val="17"/>
        </w:rPr>
        <w:t>&lt;p&gt;Instance ID: $IID&lt;/p&gt;</w:t>
      </w:r>
      <w:r>
        <w:br/>
      </w:r>
      <w:r>
        <w:rPr>
          <w:rFonts w:ascii="Consolas" w:hAnsi="Consolas"/>
          <w:sz w:val="17"/>
        </w:rPr>
        <w:t>&lt;p&gt;AZ: $AZ&lt;/p&gt;</w:t>
      </w:r>
      <w:r>
        <w:br/>
      </w:r>
      <w:r>
        <w:rPr>
          <w:rFonts w:ascii="Consolas" w:hAnsi="Consolas"/>
          <w:sz w:val="17"/>
        </w:rPr>
        <w:t>EOF</w:t>
      </w:r>
    </w:p>
    <w:p>
      <w:pPr>
        <w:keepNext/>
        <w:spacing w:after="40"/>
        <w:jc w:val="center"/>
      </w:pPr>
      <w:r>
        <w:drawing>
          <wp:inline xmlns:a="http://schemas.openxmlformats.org/drawingml/2006/main" xmlns:pic="http://schemas.openxmlformats.org/drawingml/2006/picture">
            <wp:extent cx="6048000" cy="2967182"/>
            <wp:docPr id="4" name="Picture 4"/>
            <wp:cNvGraphicFramePr>
              <a:graphicFrameLocks noChangeAspect="1"/>
            </wp:cNvGraphicFramePr>
            <a:graphic>
              <a:graphicData uri="http://schemas.openxmlformats.org/drawingml/2006/picture">
                <pic:pic>
                  <pic:nvPicPr>
                    <pic:cNvPr id="0" name="image5.png"/>
                    <pic:cNvPicPr/>
                  </pic:nvPicPr>
                  <pic:blipFill>
                    <a:blip r:embed="rId12"/>
                    <a:stretch>
                      <a:fillRect/>
                    </a:stretch>
                  </pic:blipFill>
                  <pic:spPr>
                    <a:xfrm>
                      <a:off x="0" y="0"/>
                      <a:ext cx="6048000" cy="2967182"/>
                    </a:xfrm>
                    <a:prstGeom prst="rect"/>
                  </pic:spPr>
                </pic:pic>
              </a:graphicData>
            </a:graphic>
          </wp:inline>
        </w:drawing>
      </w:r>
    </w:p>
    <w:p>
      <w:pPr>
        <w:spacing w:after="200"/>
        <w:jc w:val="center"/>
      </w:pPr>
      <w:r>
        <w:rPr>
          <w:b w:val="0"/>
          <w:i/>
          <w:color w:val="555555"/>
          <w:sz w:val="19"/>
        </w:rPr>
        <w:t>Figura 4. Detalles avanzados de LT-NSG con el User Data que instala y configura Apache.</w:t>
      </w:r>
    </w:p>
    <w:p>
      <w:pPr>
        <w:pStyle w:val="Heading2"/>
      </w:pPr>
      <w:r>
        <w:t>3.4 Serverless: función Lambda (Lambda-NSG)</w:t>
      </w:r>
    </w:p>
    <w:p>
      <w:r>
        <w:rPr>
          <w:b w:val="0"/>
          <w:i w:val="0"/>
        </w:rPr>
        <w:t>Se creó la función Lambda-NSG con runtime Python. La función es independiente de la VPC y de las instancias EC2, y responde con código HTTP 200, cabecera Content-Type: application/json y un cuerpo JSON con el estado y el identificador del estudiante: {"status": "ok", "student": "..."}. La consola confirmó que la función se actualizó correctamente tras desplegar el código.</w:t>
      </w:r>
    </w:p>
    <w:p>
      <w:pPr>
        <w:keepNext/>
        <w:spacing w:after="40"/>
        <w:jc w:val="center"/>
      </w:pPr>
      <w:r>
        <w:drawing>
          <wp:inline xmlns:a="http://schemas.openxmlformats.org/drawingml/2006/main" xmlns:pic="http://schemas.openxmlformats.org/drawingml/2006/picture">
            <wp:extent cx="6048000" cy="2986200"/>
            <wp:docPr id="5" name="Picture 5"/>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6048000" cy="2986200"/>
                    </a:xfrm>
                    <a:prstGeom prst="rect"/>
                  </pic:spPr>
                </pic:pic>
              </a:graphicData>
            </a:graphic>
          </wp:inline>
        </w:drawing>
      </w:r>
    </w:p>
    <w:p>
      <w:pPr>
        <w:spacing w:after="200"/>
        <w:jc w:val="center"/>
      </w:pPr>
      <w:r>
        <w:rPr>
          <w:b w:val="0"/>
          <w:i/>
          <w:color w:val="555555"/>
          <w:sz w:val="19"/>
        </w:rPr>
        <w:t>Figura 5. Lambda-NSG: código fuente de lambda_function.py desplegado correctamente.</w:t>
      </w:r>
    </w:p>
    <w:p>
      <w:r>
        <w:rPr>
          <w:b w:val="0"/>
          <w:i w:val="0"/>
        </w:rPr>
        <w:t>Para validar su funcionamiento se creó el evento de prueba test-NSG y se ejecutó desde la consola, confirmando el guardado del evento.</w:t>
      </w:r>
    </w:p>
    <w:p>
      <w:pPr>
        <w:keepNext/>
        <w:spacing w:after="40"/>
        <w:jc w:val="center"/>
      </w:pPr>
      <w:r>
        <w:drawing>
          <wp:inline xmlns:a="http://schemas.openxmlformats.org/drawingml/2006/main" xmlns:pic="http://schemas.openxmlformats.org/drawingml/2006/picture">
            <wp:extent cx="6048000" cy="2944921"/>
            <wp:docPr id="6" name="Picture 6"/>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6048000" cy="2944921"/>
                    </a:xfrm>
                    <a:prstGeom prst="rect"/>
                  </pic:spPr>
                </pic:pic>
              </a:graphicData>
            </a:graphic>
          </wp:inline>
        </w:drawing>
      </w:r>
    </w:p>
    <w:p>
      <w:pPr>
        <w:spacing w:after="200"/>
        <w:jc w:val="center"/>
      </w:pPr>
      <w:r>
        <w:rPr>
          <w:b w:val="0"/>
          <w:i/>
          <w:color w:val="555555"/>
          <w:sz w:val="19"/>
        </w:rPr>
        <w:t>Figura 6. Evento de prueba test-NSG creado en Lambda-NSG.</w:t>
      </w:r>
    </w:p>
    <w:p>
      <w:pPr>
        <w:pStyle w:val="Heading2"/>
      </w:pPr>
      <w:r>
        <w:t>3.5 Balanceo de carga: Target Group y ALB</w:t>
      </w:r>
    </w:p>
    <w:p>
      <w:r>
        <w:rPr>
          <w:b w:val="0"/>
          <w:i w:val="0"/>
        </w:rPr>
        <w:t>Primero se creó el grupo de destino TG-NSG, de tipo Instancia, protocolo HTTP en el puerto 80, dentro de VPC-NSG. Este grupo realiza las comprobaciones de estado sobre las instancias registradas por el Auto Scaling.</w:t>
      </w:r>
    </w:p>
    <w:p>
      <w:pPr>
        <w:keepNext/>
        <w:spacing w:after="40"/>
        <w:jc w:val="center"/>
      </w:pPr>
      <w:r>
        <w:drawing>
          <wp:inline xmlns:a="http://schemas.openxmlformats.org/drawingml/2006/main" xmlns:pic="http://schemas.openxmlformats.org/drawingml/2006/picture">
            <wp:extent cx="6048000" cy="2961000"/>
            <wp:docPr id="7" name="Picture 7"/>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6048000" cy="2961000"/>
                    </a:xfrm>
                    <a:prstGeom prst="rect"/>
                  </pic:spPr>
                </pic:pic>
              </a:graphicData>
            </a:graphic>
          </wp:inline>
        </w:drawing>
      </w:r>
    </w:p>
    <w:p>
      <w:pPr>
        <w:spacing w:after="200"/>
        <w:jc w:val="center"/>
      </w:pPr>
      <w:r>
        <w:rPr>
          <w:b w:val="0"/>
          <w:i/>
          <w:color w:val="555555"/>
          <w:sz w:val="19"/>
        </w:rPr>
        <w:t>Figura 7. Creación del grupo de destino TG-NSG (HTTP:80, tipo Instancia).</w:t>
      </w:r>
    </w:p>
    <w:p>
      <w:r>
        <w:rPr>
          <w:b w:val="0"/>
          <w:i w:val="0"/>
        </w:rPr>
        <w:t>Luego se creó el Application Load Balancer ALB-NSG, con esquema Internet-facing y tipo de dirección IPv4, desplegado en las dos zonas de disponibilidad (us-east-1a y us-east-1b) mediante las subredes públicas. Cuenta con un agente de escucha HTTP:80 cuya acción predeterminada es reenviar el tráfico al grupo de destino TG-NSG (100 %). El ALB recibe un nombre DNS público (ALB-NSG-2068207814.us-east-1.elb.amazonaws.com) para acceder a la aplicación.</w:t>
      </w:r>
    </w:p>
    <w:p>
      <w:pPr>
        <w:keepNext/>
        <w:spacing w:after="40"/>
        <w:jc w:val="center"/>
      </w:pPr>
      <w:r>
        <w:drawing>
          <wp:inline xmlns:a="http://schemas.openxmlformats.org/drawingml/2006/main" xmlns:pic="http://schemas.openxmlformats.org/drawingml/2006/picture">
            <wp:extent cx="6048000" cy="2986002"/>
            <wp:docPr id="8" name="Picture 8"/>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6048000" cy="2986002"/>
                    </a:xfrm>
                    <a:prstGeom prst="rect"/>
                  </pic:spPr>
                </pic:pic>
              </a:graphicData>
            </a:graphic>
          </wp:inline>
        </w:drawing>
      </w:r>
    </w:p>
    <w:p>
      <w:pPr>
        <w:spacing w:after="200"/>
        <w:jc w:val="center"/>
      </w:pPr>
      <w:r>
        <w:rPr>
          <w:b w:val="0"/>
          <w:i/>
          <w:color w:val="555555"/>
          <w:sz w:val="19"/>
        </w:rPr>
        <w:t>Figura 8. ALB-NSG creado: agente de escucha HTTP:80 hacia TG-NSG y subredes en dos zonas de disponibilidad.</w:t>
      </w:r>
    </w:p>
    <w:p>
      <w:pPr>
        <w:pStyle w:val="Heading2"/>
      </w:pPr>
      <w:r>
        <w:t>3.6 Escalabilidad: Auto Scaling Group (ASG-NSG)</w:t>
      </w:r>
    </w:p>
    <w:p>
      <w:r>
        <w:rPr>
          <w:b w:val="0"/>
          <w:i w:val="0"/>
        </w:rPr>
        <w:t>El grupo ASG-NSG utiliza la plantilla LT-NSG (versión predeterminada) y distribuye las instancias en las dos subredes públicas, con distribución equilibrada entre zonas. Su capacidad está configurada con mínimo 2, deseada 2 y máximo 4 instancias. Las comprobaciones de estado son de tipo EC2 y ELB con un período de gracia de 300 segundos, de modo que el grupo reemplaza automáticamente las instancias que el ALB declare no saludables. Al estar asociado al grupo de destino TG-NSG, las instancias nuevas se registran solas en el balanceador.</w:t>
      </w:r>
    </w:p>
    <w:p>
      <w:pPr>
        <w:keepNext/>
        <w:spacing w:after="40"/>
        <w:jc w:val="center"/>
      </w:pPr>
      <w:r>
        <w:drawing>
          <wp:inline xmlns:a="http://schemas.openxmlformats.org/drawingml/2006/main" xmlns:pic="http://schemas.openxmlformats.org/drawingml/2006/picture">
            <wp:extent cx="6048000" cy="2819250"/>
            <wp:docPr id="9" name="Picture 9"/>
            <wp:cNvGraphicFramePr>
              <a:graphicFrameLocks noChangeAspect="1"/>
            </wp:cNvGraphicFramePr>
            <a:graphic>
              <a:graphicData uri="http://schemas.openxmlformats.org/drawingml/2006/picture">
                <pic:pic>
                  <pic:nvPicPr>
                    <pic:cNvPr id="0" name="image8.png"/>
                    <pic:cNvPicPr/>
                  </pic:nvPicPr>
                  <pic:blipFill>
                    <a:blip r:embed="rId17"/>
                    <a:stretch>
                      <a:fillRect/>
                    </a:stretch>
                  </pic:blipFill>
                  <pic:spPr>
                    <a:xfrm>
                      <a:off x="0" y="0"/>
                      <a:ext cx="6048000" cy="2819250"/>
                    </a:xfrm>
                    <a:prstGeom prst="rect"/>
                  </pic:spPr>
                </pic:pic>
              </a:graphicData>
            </a:graphic>
          </wp:inline>
        </w:drawing>
      </w:r>
    </w:p>
    <w:p>
      <w:pPr>
        <w:spacing w:after="200"/>
        <w:jc w:val="center"/>
      </w:pPr>
      <w:r>
        <w:rPr>
          <w:b w:val="0"/>
          <w:i/>
          <w:color w:val="555555"/>
          <w:sz w:val="19"/>
        </w:rPr>
        <w:t>Figura 9. Listado de grupos de Auto Scaling: ASG-NSG con mínimo 2, máximo 4 y plantilla LT-NSG.</w:t>
      </w:r>
    </w:p>
    <w:p>
      <w:pPr>
        <w:keepNext/>
        <w:spacing w:after="40"/>
        <w:jc w:val="center"/>
      </w:pPr>
      <w:r>
        <w:drawing>
          <wp:inline xmlns:a="http://schemas.openxmlformats.org/drawingml/2006/main" xmlns:pic="http://schemas.openxmlformats.org/drawingml/2006/picture">
            <wp:extent cx="4140000" cy="4422732"/>
            <wp:docPr id="10" name="Picture 10"/>
            <wp:cNvGraphicFramePr>
              <a:graphicFrameLocks noChangeAspect="1"/>
            </wp:cNvGraphicFramePr>
            <a:graphic>
              <a:graphicData uri="http://schemas.openxmlformats.org/drawingml/2006/picture">
                <pic:pic>
                  <pic:nvPicPr>
                    <pic:cNvPr id="0" name="image9.png"/>
                    <pic:cNvPicPr/>
                  </pic:nvPicPr>
                  <pic:blipFill>
                    <a:blip r:embed="rId18"/>
                    <a:stretch>
                      <a:fillRect/>
                    </a:stretch>
                  </pic:blipFill>
                  <pic:spPr>
                    <a:xfrm>
                      <a:off x="0" y="0"/>
                      <a:ext cx="4140000" cy="4422732"/>
                    </a:xfrm>
                    <a:prstGeom prst="rect"/>
                  </pic:spPr>
                </pic:pic>
              </a:graphicData>
            </a:graphic>
          </wp:inline>
        </w:drawing>
      </w:r>
    </w:p>
    <w:p>
      <w:pPr>
        <w:spacing w:after="200"/>
        <w:jc w:val="center"/>
      </w:pPr>
      <w:r>
        <w:rPr>
          <w:b w:val="0"/>
          <w:i/>
          <w:color w:val="555555"/>
          <w:sz w:val="19"/>
        </w:rPr>
        <w:t>Figura 10. Detalle de ASG-NSG: capacidad deseada 2, límites 2–4, zonas us-east-1a y us-east-1b.</w:t>
      </w:r>
    </w:p>
    <w:p>
      <w:pPr>
        <w:pStyle w:val="Heading1"/>
      </w:pPr>
      <w:r>
        <w:t>4. Evidencia de funcionamiento</w:t>
      </w:r>
    </w:p>
    <w:p>
      <w:r>
        <w:rPr>
          <w:b w:val="0"/>
          <w:i w:val="0"/>
        </w:rPr>
        <w:t>Las comprobaciones finales consisten en verificar que las instancias queden en estado Healthy en TG-NSG y que la URL del ALB muestre la página de Apache servida por las instancias del Auto Scaling.</w:t>
      </w:r>
    </w:p>
    <w:p>
      <w:pPr>
        <w:pStyle w:val="Heading2"/>
      </w:pPr>
      <w:r>
        <w:t>4.1 Destinos en buen estado en TG-NSG</w:t>
      </w:r>
    </w:p>
    <w:tbl>
      <w:tblPr>
        <w:tblStyle w:val="TableGrid"/>
        <w:tblW w:type="auto" w:w="0"/>
        <w:tblLook w:firstColumn="1" w:firstRow="1" w:lastColumn="0" w:lastRow="0" w:noHBand="0" w:noVBand="1" w:val="04A0"/>
      </w:tblPr>
      <w:tblGrid>
        <w:gridCol w:w="9632"/>
      </w:tblGrid>
      <w:tr>
        <w:tc>
          <w:tcPr>
            <w:tcW w:type="dxa" w:w="9632"/>
            <w:shd w:val="clear" w:color="auto" w:fill="FFF8E1"/>
          </w:tcPr>
          <w:p>
            <w:pPr>
              <w:jc w:val="center"/>
            </w:pPr>
            <w:r/>
            <w:r>
              <w:rPr>
                <w:i/>
                <w:sz w:val="20"/>
              </w:rPr>
              <w:t>[Insertar aquí la captura propia de TG-NSG con las 2 instancias en estado Healthy]</w:t>
            </w:r>
          </w:p>
        </w:tc>
      </w:tr>
    </w:tbl>
    <w:p/>
    <w:p>
      <w:pPr>
        <w:pStyle w:val="Heading2"/>
      </w:pPr>
      <w:r>
        <w:t>4.2 Acceso a la URL del ALB</w:t>
      </w:r>
    </w:p>
    <w:tbl>
      <w:tblPr>
        <w:tblStyle w:val="TableGrid"/>
        <w:tblW w:type="auto" w:w="0"/>
        <w:tblLook w:firstColumn="1" w:firstRow="1" w:lastColumn="0" w:lastRow="0" w:noHBand="0" w:noVBand="1" w:val="04A0"/>
      </w:tblPr>
      <w:tblGrid>
        <w:gridCol w:w="9632"/>
      </w:tblGrid>
      <w:tr>
        <w:tc>
          <w:tcPr>
            <w:tcW w:type="dxa" w:w="9632"/>
            <w:shd w:val="clear" w:color="auto" w:fill="FFF8E1"/>
          </w:tcPr>
          <w:p>
            <w:pPr>
              <w:jc w:val="center"/>
            </w:pPr>
            <w:r/>
            <w:r>
              <w:rPr>
                <w:i/>
                <w:sz w:val="20"/>
              </w:rPr>
              <w:t>[Insertar aquí la captura del navegador con la URL ALB-NSG-2068207814.us-east-1.elb.amazonaws.com mostrando la página de Apache]</w:t>
            </w:r>
          </w:p>
        </w:tc>
      </w:tr>
    </w:tbl>
    <w:p/>
    <w:p>
      <w:r>
        <w:br w:type="page"/>
      </w:r>
    </w:p>
    <w:p>
      <w:pPr>
        <w:pStyle w:val="Heading1"/>
      </w:pPr>
      <w:r>
        <w:t>5. Cumplimiento de los requerimientos</w:t>
      </w:r>
    </w:p>
    <w:tbl>
      <w:tblPr>
        <w:tblStyle w:val="TableGrid"/>
        <w:tblW w:type="auto" w:w="0"/>
        <w:jc w:val="center"/>
        <w:tblLook w:firstColumn="1" w:firstRow="1" w:lastColumn="0" w:lastRow="0" w:noHBand="0" w:noVBand="1" w:val="04A0"/>
      </w:tblPr>
      <w:tblGrid>
        <w:gridCol w:w="3211"/>
        <w:gridCol w:w="3211"/>
        <w:gridCol w:w="3211"/>
      </w:tblGrid>
      <w:tr>
        <w:tc>
          <w:tcPr>
            <w:tcW w:type="dxa" w:w="3572"/>
            <w:shd w:val="clear" w:color="auto" w:fill="232F3E"/>
          </w:tcPr>
          <w:p>
            <w:pPr>
              <w:spacing w:after="40"/>
            </w:pPr>
            <w:r/>
            <w:r>
              <w:rPr>
                <w:b/>
                <w:color w:val="FFFFFF"/>
                <w:sz w:val="20"/>
              </w:rPr>
              <w:t>Requerimiento</w:t>
            </w:r>
          </w:p>
        </w:tc>
        <w:tc>
          <w:tcPr>
            <w:tcW w:type="dxa" w:w="3515"/>
            <w:shd w:val="clear" w:color="auto" w:fill="232F3E"/>
          </w:tcPr>
          <w:p>
            <w:pPr>
              <w:spacing w:after="40"/>
            </w:pPr>
            <w:r/>
            <w:r>
              <w:rPr>
                <w:b/>
                <w:color w:val="FFFFFF"/>
                <w:sz w:val="20"/>
              </w:rPr>
              <w:t>Recurso</w:t>
            </w:r>
          </w:p>
        </w:tc>
        <w:tc>
          <w:tcPr>
            <w:tcW w:type="dxa" w:w="1984"/>
            <w:shd w:val="clear" w:color="auto" w:fill="232F3E"/>
          </w:tcPr>
          <w:p>
            <w:pPr>
              <w:spacing w:after="40"/>
            </w:pPr>
            <w:r/>
            <w:r>
              <w:rPr>
                <w:b/>
                <w:color w:val="FFFFFF"/>
                <w:sz w:val="20"/>
              </w:rPr>
              <w:t>Estado</w:t>
            </w:r>
          </w:p>
        </w:tc>
      </w:tr>
      <w:tr>
        <w:tc>
          <w:tcPr>
            <w:tcW w:type="dxa" w:w="3572"/>
            <w:shd w:val="clear" w:color="auto" w:fill="F1F4F7"/>
          </w:tcPr>
          <w:p>
            <w:pPr>
              <w:spacing w:after="40"/>
            </w:pPr>
            <w:r/>
            <w:r>
              <w:rPr>
                <w:b/>
                <w:sz w:val="20"/>
              </w:rPr>
              <w:t>VPC personalizada</w:t>
            </w:r>
          </w:p>
        </w:tc>
        <w:tc>
          <w:tcPr>
            <w:tcW w:type="dxa" w:w="3515"/>
          </w:tcPr>
          <w:p>
            <w:pPr>
              <w:spacing w:after="40"/>
            </w:pPr>
            <w:r/>
            <w:r>
              <w:rPr>
                <w:sz w:val="20"/>
              </w:rPr>
              <w:t>VPC-NSG</w:t>
            </w:r>
          </w:p>
        </w:tc>
        <w:tc>
          <w:tcPr>
            <w:tcW w:type="dxa" w:w="1984"/>
          </w:tcPr>
          <w:p>
            <w:pPr>
              <w:spacing w:after="40"/>
            </w:pPr>
            <w:r/>
            <w:r>
              <w:rPr>
                <w:sz w:val="20"/>
              </w:rPr>
              <w:t>Implementado</w:t>
            </w:r>
          </w:p>
        </w:tc>
      </w:tr>
      <w:tr>
        <w:tc>
          <w:tcPr>
            <w:tcW w:type="dxa" w:w="3572"/>
            <w:shd w:val="clear" w:color="auto" w:fill="F1F4F7"/>
          </w:tcPr>
          <w:p>
            <w:pPr>
              <w:spacing w:after="40"/>
            </w:pPr>
            <w:r/>
            <w:r>
              <w:rPr>
                <w:b/>
                <w:sz w:val="20"/>
              </w:rPr>
              <w:t>2 subredes públicas en AZ distintas</w:t>
            </w:r>
          </w:p>
        </w:tc>
        <w:tc>
          <w:tcPr>
            <w:tcW w:type="dxa" w:w="3515"/>
          </w:tcPr>
          <w:p>
            <w:pPr>
              <w:spacing w:after="40"/>
            </w:pPr>
            <w:r/>
            <w:r>
              <w:rPr>
                <w:sz w:val="20"/>
              </w:rPr>
              <w:t>Subnet-Pub-1a-NSG, Subnet-Pub-1b-NSG</w:t>
            </w:r>
          </w:p>
        </w:tc>
        <w:tc>
          <w:tcPr>
            <w:tcW w:type="dxa" w:w="1984"/>
          </w:tcPr>
          <w:p>
            <w:pPr>
              <w:spacing w:after="40"/>
            </w:pPr>
            <w:r/>
            <w:r>
              <w:rPr>
                <w:sz w:val="20"/>
              </w:rPr>
              <w:t>Implementado</w:t>
            </w:r>
          </w:p>
        </w:tc>
      </w:tr>
      <w:tr>
        <w:tc>
          <w:tcPr>
            <w:tcW w:type="dxa" w:w="3572"/>
            <w:shd w:val="clear" w:color="auto" w:fill="F1F4F7"/>
          </w:tcPr>
          <w:p>
            <w:pPr>
              <w:spacing w:after="40"/>
            </w:pPr>
            <w:r/>
            <w:r>
              <w:rPr>
                <w:b/>
                <w:sz w:val="20"/>
              </w:rPr>
              <w:t>Internet Gateway y rutas</w:t>
            </w:r>
          </w:p>
        </w:tc>
        <w:tc>
          <w:tcPr>
            <w:tcW w:type="dxa" w:w="3515"/>
          </w:tcPr>
          <w:p>
            <w:pPr>
              <w:spacing w:after="40"/>
            </w:pPr>
            <w:r/>
            <w:r>
              <w:rPr>
                <w:sz w:val="20"/>
              </w:rPr>
              <w:t>IGW-NSG, RT-Main-NSG</w:t>
            </w:r>
          </w:p>
        </w:tc>
        <w:tc>
          <w:tcPr>
            <w:tcW w:type="dxa" w:w="1984"/>
          </w:tcPr>
          <w:p>
            <w:pPr>
              <w:spacing w:after="40"/>
            </w:pPr>
            <w:r/>
            <w:r>
              <w:rPr>
                <w:sz w:val="20"/>
              </w:rPr>
              <w:t>Implementado</w:t>
            </w:r>
          </w:p>
        </w:tc>
      </w:tr>
      <w:tr>
        <w:tc>
          <w:tcPr>
            <w:tcW w:type="dxa" w:w="3572"/>
            <w:shd w:val="clear" w:color="auto" w:fill="F1F4F7"/>
          </w:tcPr>
          <w:p>
            <w:pPr>
              <w:spacing w:after="40"/>
            </w:pPr>
            <w:r/>
            <w:r>
              <w:rPr>
                <w:b/>
                <w:sz w:val="20"/>
              </w:rPr>
              <w:t>Launch Template con User Data (Apache)</w:t>
            </w:r>
          </w:p>
        </w:tc>
        <w:tc>
          <w:tcPr>
            <w:tcW w:type="dxa" w:w="3515"/>
          </w:tcPr>
          <w:p>
            <w:pPr>
              <w:spacing w:after="40"/>
            </w:pPr>
            <w:r/>
            <w:r>
              <w:rPr>
                <w:sz w:val="20"/>
              </w:rPr>
              <w:t>LT-NSG</w:t>
            </w:r>
          </w:p>
        </w:tc>
        <w:tc>
          <w:tcPr>
            <w:tcW w:type="dxa" w:w="1984"/>
          </w:tcPr>
          <w:p>
            <w:pPr>
              <w:spacing w:after="40"/>
            </w:pPr>
            <w:r/>
            <w:r>
              <w:rPr>
                <w:sz w:val="20"/>
              </w:rPr>
              <w:t>Implementado</w:t>
            </w:r>
          </w:p>
        </w:tc>
      </w:tr>
      <w:tr>
        <w:tc>
          <w:tcPr>
            <w:tcW w:type="dxa" w:w="3572"/>
            <w:shd w:val="clear" w:color="auto" w:fill="F1F4F7"/>
          </w:tcPr>
          <w:p>
            <w:pPr>
              <w:spacing w:after="40"/>
            </w:pPr>
            <w:r/>
            <w:r>
              <w:rPr>
                <w:b/>
                <w:sz w:val="20"/>
              </w:rPr>
              <w:t>Función Lambda con respuesta JSON</w:t>
            </w:r>
          </w:p>
        </w:tc>
        <w:tc>
          <w:tcPr>
            <w:tcW w:type="dxa" w:w="3515"/>
          </w:tcPr>
          <w:p>
            <w:pPr>
              <w:spacing w:after="40"/>
            </w:pPr>
            <w:r/>
            <w:r>
              <w:rPr>
                <w:sz w:val="20"/>
              </w:rPr>
              <w:t>Lambda-NSG</w:t>
            </w:r>
          </w:p>
        </w:tc>
        <w:tc>
          <w:tcPr>
            <w:tcW w:type="dxa" w:w="1984"/>
          </w:tcPr>
          <w:p>
            <w:pPr>
              <w:spacing w:after="40"/>
            </w:pPr>
            <w:r/>
            <w:r>
              <w:rPr>
                <w:sz w:val="20"/>
              </w:rPr>
              <w:t>Implementado</w:t>
            </w:r>
          </w:p>
        </w:tc>
      </w:tr>
      <w:tr>
        <w:tc>
          <w:tcPr>
            <w:tcW w:type="dxa" w:w="3572"/>
            <w:shd w:val="clear" w:color="auto" w:fill="F1F4F7"/>
          </w:tcPr>
          <w:p>
            <w:pPr>
              <w:spacing w:after="40"/>
            </w:pPr>
            <w:r/>
            <w:r>
              <w:rPr>
                <w:b/>
                <w:sz w:val="20"/>
              </w:rPr>
              <w:t>ASG con mínimo 2 y máximo 4</w:t>
            </w:r>
          </w:p>
        </w:tc>
        <w:tc>
          <w:tcPr>
            <w:tcW w:type="dxa" w:w="3515"/>
          </w:tcPr>
          <w:p>
            <w:pPr>
              <w:spacing w:after="40"/>
            </w:pPr>
            <w:r/>
            <w:r>
              <w:rPr>
                <w:sz w:val="20"/>
              </w:rPr>
              <w:t>ASG-NSG</w:t>
            </w:r>
          </w:p>
        </w:tc>
        <w:tc>
          <w:tcPr>
            <w:tcW w:type="dxa" w:w="1984"/>
          </w:tcPr>
          <w:p>
            <w:pPr>
              <w:spacing w:after="40"/>
            </w:pPr>
            <w:r/>
            <w:r>
              <w:rPr>
                <w:sz w:val="20"/>
              </w:rPr>
              <w:t>Implementado</w:t>
            </w:r>
          </w:p>
        </w:tc>
      </w:tr>
      <w:tr>
        <w:tc>
          <w:tcPr>
            <w:tcW w:type="dxa" w:w="3572"/>
            <w:shd w:val="clear" w:color="auto" w:fill="F1F4F7"/>
          </w:tcPr>
          <w:p>
            <w:pPr>
              <w:spacing w:after="40"/>
            </w:pPr>
            <w:r/>
            <w:r>
              <w:rPr>
                <w:b/>
                <w:sz w:val="20"/>
              </w:rPr>
              <w:t>ALB público hacia el ASG</w:t>
            </w:r>
          </w:p>
        </w:tc>
        <w:tc>
          <w:tcPr>
            <w:tcW w:type="dxa" w:w="3515"/>
          </w:tcPr>
          <w:p>
            <w:pPr>
              <w:spacing w:after="40"/>
            </w:pPr>
            <w:r/>
            <w:r>
              <w:rPr>
                <w:sz w:val="20"/>
              </w:rPr>
              <w:t>ALB-NSG, TG-NSG</w:t>
            </w:r>
          </w:p>
        </w:tc>
        <w:tc>
          <w:tcPr>
            <w:tcW w:type="dxa" w:w="1984"/>
          </w:tcPr>
          <w:p>
            <w:pPr>
              <w:spacing w:after="40"/>
            </w:pPr>
            <w:r/>
            <w:r>
              <w:rPr>
                <w:sz w:val="20"/>
              </w:rPr>
              <w:t>Implementado</w:t>
            </w:r>
          </w:p>
        </w:tc>
      </w:tr>
      <w:tr>
        <w:tc>
          <w:tcPr>
            <w:tcW w:type="dxa" w:w="3572"/>
            <w:shd w:val="clear" w:color="auto" w:fill="F1F4F7"/>
          </w:tcPr>
          <w:p>
            <w:pPr>
              <w:spacing w:after="40"/>
            </w:pPr>
            <w:r/>
            <w:r>
              <w:rPr>
                <w:b/>
                <w:sz w:val="20"/>
              </w:rPr>
              <w:t>Security Groups y etiquetado con iniciales</w:t>
            </w:r>
          </w:p>
        </w:tc>
        <w:tc>
          <w:tcPr>
            <w:tcW w:type="dxa" w:w="3515"/>
          </w:tcPr>
          <w:p>
            <w:pPr>
              <w:spacing w:after="40"/>
            </w:pPr>
            <w:r/>
            <w:r>
              <w:rPr>
                <w:sz w:val="20"/>
              </w:rPr>
              <w:t>SG-ALB-NSG, SG-EC2-NSG</w:t>
            </w:r>
          </w:p>
        </w:tc>
        <w:tc>
          <w:tcPr>
            <w:tcW w:type="dxa" w:w="1984"/>
          </w:tcPr>
          <w:p>
            <w:pPr>
              <w:spacing w:after="40"/>
            </w:pPr>
            <w:r/>
            <w:r>
              <w:rPr>
                <w:sz w:val="20"/>
              </w:rPr>
              <w:t>Implementado</w:t>
            </w:r>
          </w:p>
        </w:tc>
      </w:tr>
    </w:tbl>
    <w:p>
      <w:pPr>
        <w:spacing w:after="40"/>
      </w:pPr>
    </w:p>
    <w:p>
      <w:pPr>
        <w:pStyle w:val="Heading1"/>
      </w:pPr>
      <w:r>
        <w:t>6. Conclusiones</w:t>
      </w:r>
    </w:p>
    <w:p>
      <w:r>
        <w:rPr>
          <w:b w:val="0"/>
          <w:i w:val="0"/>
        </w:rPr>
        <w:t>La arquitectura implementada cumple los requerimientos del encargo: una red segmentada con subredes públicas en dos zonas de disponibilidad, instancias idénticas creadas desde una plantilla, un grupo de Auto Scaling que mantiene entre 2 y 4 servidores y un ALB que distribuye el tráfico entre ellos. Esta combinación elimina el punto único de falla de un servidor aislado y permite escalar según la demanda.</w:t>
      </w:r>
    </w:p>
    <w:p>
      <w:r>
        <w:rPr>
          <w:b w:val="0"/>
          <w:i w:val="0"/>
        </w:rPr>
        <w:t>Además, la función Lambda demuestra el modelo serverless para respuestas simples sin administrar servidores, y el uso de grupos de seguridad separados, IMDSv2 y etiquetas con iniciales en todos los recursos aporta seguridad y trazabilidad.</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32F3E"/>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32F3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