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360" w:lineRule="auto"/>
        <w:jc w:val="center"/>
        <w:rPr/>
      </w:pPr>
      <w:r w:rsidDel="00000000" w:rsidR="00000000" w:rsidRPr="00000000">
        <w:rPr>
          <w:b w:val="1"/>
          <w:bCs w:val="1"/>
          <w:sz w:val="56"/>
          <w:szCs w:val="56"/>
          <w:rtl w:val="0"/>
        </w:rPr>
        <w:t xml:space="preserve">Enactiva</w:t>
      </w:r>
      <w:r w:rsidDel="00000000" w:rsidR="00000000" w:rsidRPr="00000000">
        <w:rPr>
          <w:rtl w:val="0"/>
        </w:rPr>
      </w:r>
    </w:p>
    <w:p w:rsidR="00000000" w:rsidDel="00000000" w:rsidP="00000000" w:rsidRDefault="00000000" w:rsidRPr="00000000" w14:paraId="00000002">
      <w:pPr>
        <w:spacing w:after="100" w:line="360" w:lineRule="auto"/>
        <w:jc w:val="center"/>
        <w:rPr/>
      </w:pPr>
      <w:r w:rsidDel="00000000" w:rsidR="00000000" w:rsidRPr="00000000">
        <w:rPr>
          <w:rFonts w:ascii="Calibri" w:cs="Calibri" w:eastAsia="Calibri" w:hAnsi="Calibri"/>
          <w:color w:val="1a1a1a"/>
          <w:sz w:val="26"/>
          <w:szCs w:val="26"/>
          <w:rtl w:val="0"/>
        </w:rPr>
        <w:t xml:space="preserve">Ecosistema de capacitación entre pares para universidades corporativas</w:t>
      </w:r>
      <w:r w:rsidDel="00000000" w:rsidR="00000000" w:rsidRPr="00000000">
        <w:rPr>
          <w:rtl w:val="0"/>
        </w:rPr>
      </w:r>
    </w:p>
    <w:p w:rsidR="00000000" w:rsidDel="00000000" w:rsidP="00000000" w:rsidRDefault="00000000" w:rsidRPr="00000000" w14:paraId="00000003">
      <w:pPr>
        <w:spacing w:after="900" w:line="360" w:lineRule="auto"/>
        <w:jc w:val="center"/>
        <w:rPr/>
      </w:pPr>
      <w:r w:rsidDel="00000000" w:rsidR="00000000" w:rsidRPr="00000000">
        <w:rPr>
          <w:rFonts w:ascii="Calibri" w:cs="Calibri" w:eastAsia="Calibri" w:hAnsi="Calibri"/>
          <w:i w:val="1"/>
          <w:iCs w:val="1"/>
          <w:color w:val="555555"/>
          <w:sz w:val="22"/>
          <w:szCs w:val="22"/>
          <w:rtl w:val="0"/>
        </w:rPr>
        <w:t xml:space="preserve">Evaluación Fase 1 — Definición Proyecto APT</w:t>
      </w:r>
      <w:r w:rsidDel="00000000" w:rsidR="00000000" w:rsidRPr="00000000">
        <w:rPr>
          <w:rtl w:val="0"/>
        </w:rPr>
      </w:r>
    </w:p>
    <w:p w:rsidR="00000000" w:rsidDel="00000000" w:rsidP="00000000" w:rsidRDefault="00000000" w:rsidRPr="00000000" w14:paraId="00000004">
      <w:pPr>
        <w:spacing w:after="80" w:line="360" w:lineRule="auto"/>
        <w:rPr/>
      </w:pPr>
      <w:r w:rsidDel="00000000" w:rsidR="00000000" w:rsidRPr="00000000">
        <w:rPr>
          <w:b w:val="1"/>
          <w:bCs w:val="1"/>
          <w:color w:val="1a1a1a"/>
          <w:sz w:val="22"/>
          <w:szCs w:val="22"/>
          <w:rtl w:val="0"/>
        </w:rPr>
        <w:t xml:space="preserve">Asignatura:</w:t>
      </w:r>
      <w:r w:rsidDel="00000000" w:rsidR="00000000" w:rsidRPr="00000000">
        <w:rPr>
          <w:rFonts w:ascii="Calibri" w:cs="Calibri" w:eastAsia="Calibri" w:hAnsi="Calibri"/>
          <w:color w:val="1a1a1a"/>
          <w:sz w:val="22"/>
          <w:szCs w:val="22"/>
          <w:rtl w:val="0"/>
        </w:rPr>
        <w:t xml:space="preserve"> Capstone (PTY4614)</w:t>
      </w:r>
      <w:r w:rsidDel="00000000" w:rsidR="00000000" w:rsidRPr="00000000">
        <w:rPr>
          <w:rtl w:val="0"/>
        </w:rPr>
      </w:r>
    </w:p>
    <w:p w:rsidR="00000000" w:rsidDel="00000000" w:rsidP="00000000" w:rsidRDefault="00000000" w:rsidRPr="00000000" w14:paraId="00000005">
      <w:pPr>
        <w:spacing w:after="80" w:line="360" w:lineRule="auto"/>
        <w:rPr/>
      </w:pPr>
      <w:r w:rsidDel="00000000" w:rsidR="00000000" w:rsidRPr="00000000">
        <w:rPr>
          <w:b w:val="1"/>
          <w:bCs w:val="1"/>
          <w:color w:val="1a1a1a"/>
          <w:sz w:val="22"/>
          <w:szCs w:val="22"/>
          <w:rtl w:val="0"/>
        </w:rPr>
        <w:t xml:space="preserve">Cliente: </w:t>
      </w:r>
      <w:r w:rsidDel="00000000" w:rsidR="00000000" w:rsidRPr="00000000">
        <w:rPr>
          <w:rFonts w:ascii="Calibri" w:cs="Calibri" w:eastAsia="Calibri" w:hAnsi="Calibri"/>
          <w:color w:val="1a1a1a"/>
          <w:sz w:val="22"/>
          <w:szCs w:val="22"/>
          <w:rtl w:val="0"/>
        </w:rPr>
        <w:t xml:space="preserve">ENACTIVA SpA — Karina López Fuentealba, CEO y Directora Académica</w:t>
      </w:r>
      <w:r w:rsidDel="00000000" w:rsidR="00000000" w:rsidRPr="00000000">
        <w:rPr>
          <w:rtl w:val="0"/>
        </w:rPr>
      </w:r>
    </w:p>
    <w:p w:rsidR="00000000" w:rsidDel="00000000" w:rsidP="00000000" w:rsidRDefault="00000000" w:rsidRPr="00000000" w14:paraId="00000006">
      <w:pPr>
        <w:spacing w:after="500" w:line="360" w:lineRule="auto"/>
        <w:rPr/>
      </w:pPr>
      <w:r w:rsidDel="00000000" w:rsidR="00000000" w:rsidRPr="00000000">
        <w:rPr>
          <w:b w:val="1"/>
          <w:bCs w:val="1"/>
          <w:color w:val="1a1a1a"/>
          <w:sz w:val="22"/>
          <w:szCs w:val="22"/>
          <w:rtl w:val="0"/>
        </w:rPr>
        <w:t xml:space="preserve">Docente guía:</w:t>
      </w:r>
      <w:r w:rsidDel="00000000" w:rsidR="00000000" w:rsidRPr="00000000">
        <w:rPr>
          <w:rFonts w:ascii="Calibri" w:cs="Calibri" w:eastAsia="Calibri" w:hAnsi="Calibri"/>
          <w:color w:val="1a1a1a"/>
          <w:sz w:val="22"/>
          <w:szCs w:val="22"/>
          <w:rtl w:val="0"/>
        </w:rPr>
        <w:t xml:space="preserve"> </w:t>
      </w:r>
      <w:r w:rsidDel="00000000" w:rsidR="00000000" w:rsidRPr="00000000">
        <w:rPr>
          <w:color w:val="1a1a1a"/>
          <w:rtl w:val="0"/>
        </w:rPr>
        <w:t xml:space="preserve">Paz Morales</w:t>
      </w:r>
      <w:r w:rsidDel="00000000" w:rsidR="00000000" w:rsidRPr="00000000">
        <w:rPr>
          <w:rtl w:val="0"/>
        </w:rPr>
      </w:r>
    </w:p>
    <w:p w:rsidR="00000000" w:rsidDel="00000000" w:rsidP="00000000" w:rsidRDefault="00000000" w:rsidRPr="00000000" w14:paraId="00000007">
      <w:pPr>
        <w:spacing w:after="40" w:line="360" w:lineRule="auto"/>
        <w:jc w:val="both"/>
        <w:rPr/>
      </w:pPr>
      <w:r w:rsidDel="00000000" w:rsidR="00000000" w:rsidRPr="00000000">
        <w:rPr>
          <w:rFonts w:ascii="Calibri" w:cs="Calibri" w:eastAsia="Calibri" w:hAnsi="Calibri"/>
          <w:b w:val="1"/>
          <w:bCs w:val="1"/>
          <w:color w:val="1a1a1a"/>
          <w:sz w:val="22"/>
          <w:szCs w:val="22"/>
          <w:rtl w:val="0"/>
        </w:rPr>
        <w:t xml:space="preserve">Integrantes:</w:t>
      </w:r>
      <w:r w:rsidDel="00000000" w:rsidR="00000000" w:rsidRPr="00000000">
        <w:rPr>
          <w:rtl w:val="0"/>
        </w:rPr>
      </w:r>
    </w:p>
    <w:p w:rsidR="00000000" w:rsidDel="00000000" w:rsidP="00000000" w:rsidRDefault="00000000" w:rsidRPr="00000000" w14:paraId="00000008">
      <w:pPr>
        <w:spacing w:after="40" w:line="360" w:lineRule="auto"/>
        <w:jc w:val="both"/>
        <w:rPr/>
      </w:pPr>
      <w:r w:rsidDel="00000000" w:rsidR="00000000" w:rsidRPr="00000000">
        <w:rPr>
          <w:rFonts w:ascii="Calibri" w:cs="Calibri" w:eastAsia="Calibri" w:hAnsi="Calibri"/>
          <w:color w:val="1a1a1a"/>
          <w:sz w:val="22"/>
          <w:szCs w:val="22"/>
          <w:rtl w:val="0"/>
        </w:rPr>
        <w:t xml:space="preserve">Nicolás Saldivia</w:t>
      </w:r>
      <w:r w:rsidDel="00000000" w:rsidR="00000000" w:rsidRPr="00000000">
        <w:rPr>
          <w:rtl w:val="0"/>
        </w:rPr>
      </w:r>
    </w:p>
    <w:p w:rsidR="00000000" w:rsidDel="00000000" w:rsidP="00000000" w:rsidRDefault="00000000" w:rsidRPr="00000000" w14:paraId="00000009">
      <w:pPr>
        <w:spacing w:after="40" w:line="360" w:lineRule="auto"/>
        <w:jc w:val="both"/>
        <w:rPr/>
      </w:pPr>
      <w:r w:rsidDel="00000000" w:rsidR="00000000" w:rsidRPr="00000000">
        <w:rPr>
          <w:rFonts w:ascii="Calibri" w:cs="Calibri" w:eastAsia="Calibri" w:hAnsi="Calibri"/>
          <w:color w:val="1a1a1a"/>
          <w:sz w:val="22"/>
          <w:szCs w:val="22"/>
          <w:rtl w:val="0"/>
        </w:rPr>
        <w:t xml:space="preserve">Benjamín Arias</w:t>
      </w:r>
      <w:r w:rsidDel="00000000" w:rsidR="00000000" w:rsidRPr="00000000">
        <w:rPr>
          <w:rtl w:val="0"/>
        </w:rPr>
      </w:r>
    </w:p>
    <w:p w:rsidR="00000000" w:rsidDel="00000000" w:rsidP="00000000" w:rsidRDefault="00000000" w:rsidRPr="00000000" w14:paraId="0000000A">
      <w:pPr>
        <w:spacing w:after="40" w:line="360" w:lineRule="auto"/>
        <w:jc w:val="both"/>
        <w:rPr/>
      </w:pPr>
      <w:r w:rsidDel="00000000" w:rsidR="00000000" w:rsidRPr="00000000">
        <w:rPr>
          <w:rFonts w:ascii="Calibri" w:cs="Calibri" w:eastAsia="Calibri" w:hAnsi="Calibri"/>
          <w:color w:val="1a1a1a"/>
          <w:sz w:val="22"/>
          <w:szCs w:val="22"/>
          <w:rtl w:val="0"/>
        </w:rPr>
        <w:t xml:space="preserve">Patricio Márquez</w:t>
      </w:r>
      <w:r w:rsidDel="00000000" w:rsidR="00000000" w:rsidRPr="00000000">
        <w:rPr>
          <w:rtl w:val="0"/>
        </w:rPr>
      </w:r>
    </w:p>
    <w:p w:rsidR="00000000" w:rsidDel="00000000" w:rsidP="00000000" w:rsidRDefault="00000000" w:rsidRPr="00000000" w14:paraId="0000000B">
      <w:pPr>
        <w:spacing w:after="40" w:line="360" w:lineRule="auto"/>
        <w:jc w:val="both"/>
        <w:rPr/>
      </w:pPr>
      <w:r w:rsidDel="00000000" w:rsidR="00000000" w:rsidRPr="00000000">
        <w:rPr>
          <w:rFonts w:ascii="Calibri" w:cs="Calibri" w:eastAsia="Calibri" w:hAnsi="Calibri"/>
          <w:color w:val="1a1a1a"/>
          <w:sz w:val="22"/>
          <w:szCs w:val="22"/>
          <w:rtl w:val="0"/>
        </w:rPr>
        <w:t xml:space="preserve">Giovanni Ortiz</w:t>
      </w:r>
      <w:r w:rsidDel="00000000" w:rsidR="00000000" w:rsidRPr="00000000">
        <w:rPr>
          <w:rtl w:val="0"/>
        </w:rPr>
      </w:r>
    </w:p>
    <w:p w:rsidR="00000000" w:rsidDel="00000000" w:rsidP="00000000" w:rsidRDefault="00000000" w:rsidRPr="00000000" w14:paraId="0000000C">
      <w:pPr>
        <w:spacing w:before="900" w:line="360" w:lineRule="auto"/>
        <w:jc w:val="center"/>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80" w:before="340" w:line="360" w:lineRule="auto"/>
        <w:rPr/>
      </w:pPr>
      <w:r w:rsidDel="00000000" w:rsidR="00000000" w:rsidRPr="00000000">
        <w:rPr>
          <w:rFonts w:ascii="Calibri" w:cs="Calibri" w:eastAsia="Calibri" w:hAnsi="Calibri"/>
          <w:b w:val="1"/>
          <w:bCs w:val="1"/>
          <w:color w:val="000000"/>
          <w:sz w:val="28"/>
          <w:szCs w:val="28"/>
          <w:rtl w:val="0"/>
        </w:rPr>
        <w:t xml:space="preserve">Índice</w:t>
      </w:r>
      <w:r w:rsidDel="00000000" w:rsidR="00000000" w:rsidRPr="00000000">
        <w:rPr>
          <w:rtl w:val="0"/>
        </w:rPr>
      </w:r>
    </w:p>
    <w:sdt>
      <w:sdtPr>
        <w:id w:val="-1334335248"/>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1. Descripción del Proyecto APT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2. 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3. Relación del Proyecto APT con los Intereses Profesionales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4. Argumento de Factibilidad del Proyecto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4.2 Factibilidad de alcance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4.3 Factibilidad organizacional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5.1 Objetivo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5.2 Objetivos específicos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6. Propuesta de Metodología de Trabajo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7. Plan de Trabajo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8. Determinación de Evidencias y su Justificación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9. Cumplimiento de los Indicadores de Calidad</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Individual Conclusions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Nicolás Saldivia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Benjamín Arias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Patricio Márquez</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Giovanni Ortiz</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Reflection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Nicolás Saldivia</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Benjamín Arias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Patricio Márquez</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Giovanni Ortiz</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This report presents the Phase 1 definition of Conecta, a capstone engineering project (PTY4614) developed for ENACTIVA SpA, a Chilean company specializing in corporate learning and organizational development. The project responds to a concrete business problem identified together with the client: companies pay for external training even though the knowledge they need often already exists inside their own teams, and there is no structured way to identify who can teach what, nor to measure whether that transfer of knowledge actually changes how people work.</w:t>
      </w: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Conecta proposes a peer-to-peer training ecosystem, inspired by the internal training model used by large franchise organizations, adapted to any company through a standardized course structure (diagnosis, class, monitoring) and a person-to-person matching mechanism grounded in graph theory. The platform is designed around four user roles — a global ENACTIVA administrator, a company HR administrator, instructors, and learners — and measures progress across three dimensions (skill, content, and attitude) at three points in time, producing two role-specific dashboards for decision-making.</w:t>
      </w: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This document describes the problem, its relevance, the alignment of the project with the graduate profile competencies and the team's professional interests, the feasibility argument, the general and specific objectives, the proposed working methodology, the work plan for the semester, and the evidence gathered to support each decision. All requirements are traced using an explicit confirmed/assumed/proposed/open-question framework, built directly from two structured meetings with the client.</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Resumen</w:t>
      </w:r>
      <w:r w:rsidDel="00000000" w:rsidR="00000000" w:rsidRPr="00000000">
        <w:rPr>
          <w:rtl w:val="0"/>
        </w:rPr>
      </w:r>
    </w:p>
    <w:p w:rsidR="00000000" w:rsidDel="00000000" w:rsidP="00000000" w:rsidRDefault="00000000" w:rsidRPr="00000000" w14:paraId="00000031">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informe presenta la definición de la Fase 1 del proyecto de título Conecta, desarrollado en el marco de la asignatura Capstone (PTY4614) para el cliente real ENACTIVA SpA, empresa chilena dedicada a la capacitación corporativa y al desarrollo organizacional. El proyecto responde a un problema de negocio concreto, identificado junto al cliente: las empresas pagan por capacitación externa aunque el conocimiento que necesitan muchas veces ya existe dentro de sus propios equipos, y no existe una forma estructurada de identificar quién puede enseñar qué, ni de medir si esa transferencia de conocimiento realmente cambia la forma de trabajar.</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Conecta propone un ecosistema de capacitación entre pares, inspirado en el modelo de formación interna de grandes cadenas corporativas, adaptado a cualquier empresa mediante una estructura de curso estandarizada (diagnóstico, clase, monitoreo) y un mecanismo de matching persona a persona basado en teoría de grafos. La plataforma se organiza en torno a cuatro roles de usuario — administrador global de ENACTIVA, administrador de RRHH por empresa, capacitadores y estudiantes — y mide el progreso en tres dimensiones (habilidad, contenido y actitud) en tres momentos distintos, generando dos dashboards diferenciados para la toma de decisiones.</w:t>
      </w:r>
      <w:r w:rsidDel="00000000" w:rsidR="00000000" w:rsidRPr="00000000">
        <w:rPr>
          <w:rtl w:val="0"/>
        </w:rPr>
      </w:r>
    </w:p>
    <w:p w:rsidR="00000000" w:rsidDel="00000000" w:rsidP="00000000" w:rsidRDefault="00000000" w:rsidRPr="00000000" w14:paraId="00000033">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documento describe el problema y su relevancia, la relación del proyecto con las competencias del perfil de egreso y con los intereses profesionales del equipo, el argumento de factibilidad, los objetivos general y específicos, la metodología de trabajo propuesta, el plan de trabajo del semestre, y las evidencias recopiladas para sustentar cada decisión. Todos los requerimientos se trazan mediante un marco explícito de confirmado/supuesto/propuesta/pregunta abierta, construido a partir de dos reuniones estructuradas con el cliente.</w:t>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1. Descripción del Proyecto APT</w:t>
      </w:r>
      <w:r w:rsidDel="00000000" w:rsidR="00000000" w:rsidRPr="00000000">
        <w:rPr>
          <w:rtl w:val="0"/>
        </w:rPr>
      </w:r>
    </w:p>
    <w:p w:rsidR="00000000" w:rsidDel="00000000" w:rsidP="00000000" w:rsidRDefault="00000000" w:rsidRPr="00000000" w14:paraId="00000036">
      <w:pPr>
        <w:spacing w:after="160" w:line="360" w:lineRule="auto"/>
        <w:jc w:val="both"/>
        <w:rPr/>
      </w:pP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color w:val="1a1a1a"/>
          <w:sz w:val="22"/>
          <w:szCs w:val="22"/>
          <w:rtl w:val="0"/>
        </w:rPr>
        <w:t xml:space="preserve">Conecta</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color w:val="1a1a1a"/>
          <w:sz w:val="22"/>
          <w:szCs w:val="22"/>
          <w:rtl w:val="0"/>
        </w:rPr>
        <w:t xml:space="preserve"> es una plataforma web pensada para que las empresas capaciten a sus propios equipos utilizando el conocimiento que ya existe dentro de la organización, en lugar de depender exclusivamente de capacitadores externos. La idea central, planteada por la CEO de ENACTIVA, Karina López Fuentealba, se resume en la analogía de la "Universidad McDonald's": así como esa cadena forma a sus propios trabajadores con trabajadores de la misma empresa, ENACTIVA busca ofrecer a sus clientes corporativos un ecosistema donde cualquier colaborador con una habilidad, un conocimiento o una actitud que enseñar pueda conectarse con quienes quieren aprenderlo.</w:t>
      </w: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El proyecto nace de un problema identificado por ENACTIVA en su trabajo con empresas: existen cursos y capacitaciones dispersas, sin trazabilidad de su impacto real, y el conocimiento de los trabajadores más experimentados se pierde cuando estos dejan la organización. </w:t>
      </w:r>
      <w:r w:rsidDel="00000000" w:rsidR="00000000" w:rsidRPr="00000000">
        <w:rPr>
          <w:color w:val="1a1a1a"/>
          <w:rtl w:val="0"/>
        </w:rPr>
        <w:t xml:space="preserve">Enactiva</w:t>
      </w:r>
      <w:r w:rsidDel="00000000" w:rsidR="00000000" w:rsidRPr="00000000">
        <w:rPr>
          <w:rFonts w:ascii="Calibri" w:cs="Calibri" w:eastAsia="Calibri" w:hAnsi="Calibri"/>
          <w:b w:val="0"/>
          <w:bCs w:val="0"/>
          <w:i w:val="0"/>
          <w:iCs w:val="0"/>
          <w:color w:val="1a1a1a"/>
          <w:sz w:val="22"/>
          <w:szCs w:val="22"/>
          <w:rtl w:val="0"/>
        </w:rPr>
        <w:t xml:space="preserve"> aborda esto mediante tres piezas integradas: un sistema de matching entre personas (basado en teoría de grafos, similar en dinámica a una aplicación de citas), una estructura de curso estandarizada con tres momentos de medición (diagnóstico, intermedio y monitoreo), y dos dashboards — uno para el área de RRHH de la empresa cliente y otro para cada capacitador — que traducen esos datos en decisiones concretas sobre dónde invertir en desarrollo interno.</w:t>
      </w:r>
      <w:r w:rsidDel="00000000" w:rsidR="00000000" w:rsidRPr="00000000">
        <w:rPr>
          <w:rtl w:val="0"/>
        </w:rPr>
      </w:r>
    </w:p>
    <w:p w:rsidR="00000000" w:rsidDel="00000000" w:rsidP="00000000" w:rsidRDefault="00000000" w:rsidRPr="00000000" w14:paraId="00000038">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La relevancia del proyecto es doble. Para ENACTIVA, representa la base tecnológica de un nuevo modelo de negocio  </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color w:val="1a1a1a"/>
          <w:sz w:val="22"/>
          <w:szCs w:val="22"/>
          <w:rtl w:val="0"/>
        </w:rPr>
        <w:t xml:space="preserve">universidades corporativas internas</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color w:val="1a1a1a"/>
          <w:sz w:val="22"/>
          <w:szCs w:val="22"/>
          <w:rtl w:val="0"/>
        </w:rPr>
        <w:t xml:space="preserve">  que hasta ahora la empresa ha ofrecido de forma manual y no escalable. Para el equipo Capstone, representa un desafío de ingeniería real: modelar correctamente un dominio complejo (personas, habilidades, relaciones de enseñanza, mediciones estandarizadas) y construir un producto funcional en un semestre, trabajando directamente con una clienta real bajo condiciones de incertidumbre y cambio de alcance, tal como ocurre en la práctica profesional.</w:t>
      </w:r>
      <w:r w:rsidDel="00000000" w:rsidR="00000000" w:rsidRPr="00000000">
        <w:rPr>
          <w:rtl w:val="0"/>
        </w:rPr>
      </w:r>
    </w:p>
    <w:p w:rsidR="00000000" w:rsidDel="00000000" w:rsidP="00000000" w:rsidRDefault="00000000" w:rsidRPr="00000000" w14:paraId="00000039">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3A">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El desarrollo de </w:t>
      </w:r>
      <w:r w:rsidDel="00000000" w:rsidR="00000000" w:rsidRPr="00000000">
        <w:rPr>
          <w:color w:val="1a1a1a"/>
          <w:rtl w:val="0"/>
        </w:rPr>
        <w:t xml:space="preserve">Enactiva</w:t>
      </w:r>
      <w:r w:rsidDel="00000000" w:rsidR="00000000" w:rsidRPr="00000000">
        <w:rPr>
          <w:rFonts w:ascii="Calibri" w:cs="Calibri" w:eastAsia="Calibri" w:hAnsi="Calibri"/>
          <w:b w:val="0"/>
          <w:bCs w:val="0"/>
          <w:i w:val="0"/>
          <w:iCs w:val="0"/>
          <w:color w:val="1a1a1a"/>
          <w:sz w:val="22"/>
          <w:szCs w:val="22"/>
          <w:rtl w:val="0"/>
        </w:rPr>
        <w:t xml:space="preserve"> exige movilizar de forma integrada varias competencias propias del perfil de egreso de Ingeniería en Informática de Duoc UC. En primer lugar, la capacidad de levantar y modelar requerimientos a partir de un cliente real: el equipo debió interpretar información ambigua y en evolución, entregada en distintos formatos (presentación inicial, apuntes de reunión, transcripción de audio), y traducirla en requerimientos funcionales y no funcionales trazables.</w:t>
      </w:r>
      <w:r w:rsidDel="00000000" w:rsidR="00000000" w:rsidRPr="00000000">
        <w:rPr>
          <w:rtl w:val="0"/>
        </w:rPr>
      </w:r>
    </w:p>
    <w:p w:rsidR="00000000" w:rsidDel="00000000" w:rsidP="00000000" w:rsidRDefault="00000000" w:rsidRPr="00000000" w14:paraId="0000003B">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En segundo lugar, la competencia de diseño de arquitectura de software: se requiere justificar decisiones de stack tecnológico, base de datos y patrones de arquitectura en función de restricciones reales de tiempo, equipo y volumen de datos, en lugar de aplicar soluciones genéricas. En tercer lugar, la competencia de modelamiento de dominio, particularmente relevante aquí porque el núcleo técnico del proyecto</w:t>
      </w:r>
      <w:r w:rsidDel="00000000" w:rsidR="00000000" w:rsidRPr="00000000">
        <w:rPr>
          <w:color w:val="1a1a1a"/>
          <w:rtl w:val="0"/>
        </w:rPr>
        <w:t xml:space="preserve">, </w:t>
      </w:r>
      <w:r w:rsidDel="00000000" w:rsidR="00000000" w:rsidRPr="00000000">
        <w:rPr>
          <w:rFonts w:ascii="Calibri" w:cs="Calibri" w:eastAsia="Calibri" w:hAnsi="Calibri"/>
          <w:b w:val="0"/>
          <w:bCs w:val="0"/>
          <w:i w:val="0"/>
          <w:iCs w:val="0"/>
          <w:color w:val="1a1a1a"/>
          <w:sz w:val="22"/>
          <w:szCs w:val="22"/>
          <w:rtl w:val="0"/>
        </w:rPr>
        <w:t xml:space="preserve">el motor de matching</w:t>
      </w:r>
      <w:r w:rsidDel="00000000" w:rsidR="00000000" w:rsidRPr="00000000">
        <w:rPr>
          <w:color w:val="1a1a1a"/>
          <w:rtl w:val="0"/>
        </w:rPr>
        <w:t xml:space="preserve">, </w:t>
      </w:r>
      <w:r w:rsidDel="00000000" w:rsidR="00000000" w:rsidRPr="00000000">
        <w:rPr>
          <w:rFonts w:ascii="Calibri" w:cs="Calibri" w:eastAsia="Calibri" w:hAnsi="Calibri"/>
          <w:b w:val="0"/>
          <w:bCs w:val="0"/>
          <w:i w:val="0"/>
          <w:iCs w:val="0"/>
          <w:color w:val="1a1a1a"/>
          <w:sz w:val="22"/>
          <w:szCs w:val="22"/>
          <w:rtl w:val="0"/>
        </w:rPr>
        <w:t xml:space="preserve">requiere aplicar conceptos de teoría de grafos a un problema de negocio concreto.</w:t>
      </w:r>
      <w:r w:rsidDel="00000000" w:rsidR="00000000" w:rsidRPr="00000000">
        <w:rPr>
          <w:rtl w:val="0"/>
        </w:rPr>
      </w:r>
    </w:p>
    <w:p w:rsidR="00000000" w:rsidDel="00000000" w:rsidP="00000000" w:rsidRDefault="00000000" w:rsidRPr="00000000" w14:paraId="0000003C">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Finalmente, el proyecto moviliza competencias de comunicación técnica y trabajo con stakeholders: el equipo debe presentar avances a una clienta real, resolver ambigüedades y conflictos de requerimientos de forma profesional, y documentar decisiones de manera que sean comprensibles tanto para una audiencia técnica como para la propia clienta, sin formación en informática.</w:t>
      </w:r>
      <w:r w:rsidDel="00000000" w:rsidR="00000000" w:rsidRPr="00000000">
        <w:rPr>
          <w:rtl w:val="0"/>
        </w:rPr>
      </w:r>
    </w:p>
    <w:p w:rsidR="00000000" w:rsidDel="00000000" w:rsidP="00000000" w:rsidRDefault="00000000" w:rsidRPr="00000000" w14:paraId="0000003D">
      <w:pPr>
        <w:pStyle w:val="Heading1"/>
        <w:spacing w:after="180" w:before="340" w:line="36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3. Relación del Proyecto APT con los Intereses Profesionales</w:t>
      </w:r>
      <w:r w:rsidDel="00000000" w:rsidR="00000000" w:rsidRPr="00000000">
        <w:rPr>
          <w:rtl w:val="0"/>
        </w:rPr>
      </w:r>
    </w:p>
    <w:p w:rsidR="00000000" w:rsidDel="00000000" w:rsidP="00000000" w:rsidRDefault="00000000" w:rsidRPr="00000000" w14:paraId="0000003E">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Para el equipo, este proyecto conecta con intereses profesionales concretos en tres frentes. Primero, el interés por el desarrollo full-stack de productos reales, con responsabilidad sobre el ciclo completo: desde el levantamiento de requerimientos con el cliente hasta el diseño de arquitectura y la construcción del producto, pasando por decisiones de UX reflejadas en los mockups del sistema.</w:t>
      </w:r>
      <w:r w:rsidDel="00000000" w:rsidR="00000000" w:rsidRPr="00000000">
        <w:rPr>
          <w:rtl w:val="0"/>
        </w:rPr>
      </w:r>
    </w:p>
    <w:p w:rsidR="00000000" w:rsidDel="00000000" w:rsidP="00000000" w:rsidRDefault="00000000" w:rsidRPr="00000000" w14:paraId="0000003F">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Segundo, el interés por el modelamiento de datos y algoritmos aplicados a problemas de personas y organizaciones — en este caso, teoría de grafos aplicada a un motor de recomendación/matching — un área con proyección tanto académica como profesional en analítica de datos y sistemas de recomendación.</w:t>
      </w:r>
      <w:r w:rsidDel="00000000" w:rsidR="00000000" w:rsidRPr="00000000">
        <w:rPr>
          <w:rtl w:val="0"/>
        </w:rPr>
      </w:r>
    </w:p>
    <w:p w:rsidR="00000000" w:rsidDel="00000000" w:rsidP="00000000" w:rsidRDefault="00000000" w:rsidRPr="00000000" w14:paraId="00000040">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Tercero, el interés por trabajar con clientes reales y no solo con proyectos simulados: la experiencia de levantar requerimientos con una fundadora de startup, enfrentar cambios de alcance entre reuniones y tener que resolver ambigüedades de negocio antes de tomar decisiones técnicas, es exactamente el tipo de práctica profesional que el equipo busca desarrollar antes de egresar.</w:t>
      </w:r>
      <w:r w:rsidDel="00000000" w:rsidR="00000000" w:rsidRPr="00000000">
        <w:rPr>
          <w:rtl w:val="0"/>
        </w:rPr>
      </w:r>
    </w:p>
    <w:p w:rsidR="00000000" w:rsidDel="00000000" w:rsidP="00000000" w:rsidRDefault="00000000" w:rsidRPr="00000000" w14:paraId="00000041">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4. Argumento de Factibilidad del Proyecto</w:t>
      </w:r>
      <w:r w:rsidDel="00000000" w:rsidR="00000000" w:rsidRPr="00000000">
        <w:rPr>
          <w:rtl w:val="0"/>
        </w:rPr>
      </w:r>
    </w:p>
    <w:p w:rsidR="00000000" w:rsidDel="00000000" w:rsidP="00000000" w:rsidRDefault="00000000" w:rsidRPr="00000000" w14:paraId="00000042">
      <w:pPr>
        <w:pStyle w:val="Heading2"/>
        <w:spacing w:after="140" w:before="240" w:line="360" w:lineRule="auto"/>
        <w:rPr/>
      </w:pPr>
      <w:r w:rsidDel="00000000" w:rsidR="00000000" w:rsidRPr="00000000">
        <w:rPr>
          <w:rFonts w:ascii="Calibri" w:cs="Calibri" w:eastAsia="Calibri" w:hAnsi="Calibri"/>
          <w:b w:val="1"/>
          <w:bCs w:val="1"/>
          <w:color w:val="1a1a1a"/>
          <w:sz w:val="24"/>
          <w:szCs w:val="24"/>
          <w:rtl w:val="0"/>
        </w:rPr>
        <w:t xml:space="preserve">4.1 Factibilidad técnica</w:t>
      </w:r>
      <w:r w:rsidDel="00000000" w:rsidR="00000000" w:rsidRPr="00000000">
        <w:rPr>
          <w:rtl w:val="0"/>
        </w:rPr>
      </w:r>
    </w:p>
    <w:p w:rsidR="00000000" w:rsidDel="00000000" w:rsidP="00000000" w:rsidRDefault="00000000" w:rsidRPr="00000000" w14:paraId="00000043">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El stack propuesto (React + TypeScript en el frontend, NestJS en el backend, PostgreSQL como base de datos) está compuesto en su totalidad por tecnologías maduras, ampliamente documentadas y ya conocidas</w:t>
      </w:r>
      <w:r w:rsidDel="00000000" w:rsidR="00000000" w:rsidRPr="00000000">
        <w:rPr>
          <w:color w:val="1a1a1a"/>
          <w:rtl w:val="0"/>
        </w:rPr>
        <w:t xml:space="preserve">,</w:t>
      </w:r>
      <w:r w:rsidDel="00000000" w:rsidR="00000000" w:rsidRPr="00000000">
        <w:rPr>
          <w:rFonts w:ascii="Calibri" w:cs="Calibri" w:eastAsia="Calibri" w:hAnsi="Calibri"/>
          <w:b w:val="0"/>
          <w:bCs w:val="0"/>
          <w:i w:val="0"/>
          <w:iCs w:val="0"/>
          <w:color w:val="1a1a1a"/>
          <w:sz w:val="22"/>
          <w:szCs w:val="22"/>
          <w:rtl w:val="0"/>
        </w:rPr>
        <w:t xml:space="preserve"> al menos parcialmente</w:t>
      </w:r>
      <w:r w:rsidDel="00000000" w:rsidR="00000000" w:rsidRPr="00000000">
        <w:rPr>
          <w:color w:val="1a1a1a"/>
          <w:rtl w:val="0"/>
        </w:rPr>
        <w:t xml:space="preserve">, </w:t>
      </w:r>
      <w:r w:rsidDel="00000000" w:rsidR="00000000" w:rsidRPr="00000000">
        <w:rPr>
          <w:rFonts w:ascii="Calibri" w:cs="Calibri" w:eastAsia="Calibri" w:hAnsi="Calibri"/>
          <w:b w:val="0"/>
          <w:bCs w:val="0"/>
          <w:i w:val="0"/>
          <w:iCs w:val="0"/>
          <w:color w:val="1a1a1a"/>
          <w:sz w:val="22"/>
          <w:szCs w:val="22"/>
          <w:rtl w:val="0"/>
        </w:rPr>
        <w:t xml:space="preserve">por integrantes del equipo. Se descartó deliberadamente una base de datos de grafos nativa (Neo4j) y una arquitectura de microservicios por ser sobredimensionadas para el volumen esperado del piloto (3-4 empresas), reduciendo así el riesgo técnico del semestre.</w:t>
      </w:r>
      <w:r w:rsidDel="00000000" w:rsidR="00000000" w:rsidRPr="00000000">
        <w:rPr>
          <w:rtl w:val="0"/>
        </w:rPr>
      </w:r>
    </w:p>
    <w:p w:rsidR="00000000" w:rsidDel="00000000" w:rsidP="00000000" w:rsidRDefault="00000000" w:rsidRPr="00000000" w14:paraId="00000044">
      <w:pPr>
        <w:pStyle w:val="Heading2"/>
        <w:spacing w:after="140" w:before="240" w:line="360" w:lineRule="auto"/>
        <w:rPr/>
      </w:pPr>
      <w:r w:rsidDel="00000000" w:rsidR="00000000" w:rsidRPr="00000000">
        <w:rPr>
          <w:rFonts w:ascii="Calibri" w:cs="Calibri" w:eastAsia="Calibri" w:hAnsi="Calibri"/>
          <w:b w:val="1"/>
          <w:bCs w:val="1"/>
          <w:color w:val="1a1a1a"/>
          <w:sz w:val="24"/>
          <w:szCs w:val="24"/>
          <w:rtl w:val="0"/>
        </w:rPr>
        <w:t xml:space="preserve">4.2 Factibilidad de alcance</w:t>
      </w:r>
      <w:r w:rsidDel="00000000" w:rsidR="00000000" w:rsidRPr="00000000">
        <w:rPr>
          <w:rtl w:val="0"/>
        </w:rPr>
      </w:r>
    </w:p>
    <w:p w:rsidR="00000000" w:rsidDel="00000000" w:rsidP="00000000" w:rsidRDefault="00000000" w:rsidRPr="00000000" w14:paraId="00000045">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El alcance del MVP fue acotado explícitamente junto con la clienta: sin IA generativa para creación de cursos, sin arquitectura SaaS multi-empresa, sin certificación externa y sin personalización visual por empresa. Este acotamiento reduce el trabajo de ingeniería a lo esencial para demostrar el concepto  matching, estructura de curso estandarizada y medición en tres momentos — dentro de un semestre.</w:t>
      </w:r>
      <w:r w:rsidDel="00000000" w:rsidR="00000000" w:rsidRPr="00000000">
        <w:rPr>
          <w:rtl w:val="0"/>
        </w:rPr>
      </w:r>
    </w:p>
    <w:p w:rsidR="00000000" w:rsidDel="00000000" w:rsidP="00000000" w:rsidRDefault="00000000" w:rsidRPr="00000000" w14:paraId="00000046">
      <w:pPr>
        <w:pStyle w:val="Heading2"/>
        <w:spacing w:after="140" w:before="240" w:line="360" w:lineRule="auto"/>
        <w:rPr/>
      </w:pPr>
      <w:r w:rsidDel="00000000" w:rsidR="00000000" w:rsidRPr="00000000">
        <w:rPr>
          <w:rFonts w:ascii="Calibri" w:cs="Calibri" w:eastAsia="Calibri" w:hAnsi="Calibri"/>
          <w:b w:val="1"/>
          <w:bCs w:val="1"/>
          <w:color w:val="1a1a1a"/>
          <w:sz w:val="24"/>
          <w:szCs w:val="24"/>
          <w:rtl w:val="0"/>
        </w:rPr>
        <w:t xml:space="preserve">4.3 Factibilidad organizacional</w:t>
      </w:r>
      <w:r w:rsidDel="00000000" w:rsidR="00000000" w:rsidRPr="00000000">
        <w:rPr>
          <w:rtl w:val="0"/>
        </w:rPr>
      </w:r>
    </w:p>
    <w:p w:rsidR="00000000" w:rsidDel="00000000" w:rsidP="00000000" w:rsidRDefault="00000000" w:rsidRPr="00000000" w14:paraId="00000047">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ENACTIVA se comprometió a un acompañamiento quincenal durante el semestre, lo que permite validar avances de forma incremental y corregir el rumbo tempranamente si es necesario, en lugar de descubrir desviaciones de alcance recién al final. La disposición de la clienta a compartir transcripciones completas de reuniones y a responder preguntas de forma directa reduce significativamente el riesgo de construir sobre supuestos incorrectos.</w:t>
      </w:r>
      <w:r w:rsidDel="00000000" w:rsidR="00000000" w:rsidRPr="00000000">
        <w:rPr>
          <w:rtl w:val="0"/>
        </w:rPr>
      </w:r>
    </w:p>
    <w:p w:rsidR="00000000" w:rsidDel="00000000" w:rsidP="00000000" w:rsidRDefault="00000000" w:rsidRPr="00000000" w14:paraId="00000048">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5. Objetivos</w:t>
      </w:r>
      <w:r w:rsidDel="00000000" w:rsidR="00000000" w:rsidRPr="00000000">
        <w:rPr>
          <w:rtl w:val="0"/>
        </w:rPr>
      </w:r>
    </w:p>
    <w:p w:rsidR="00000000" w:rsidDel="00000000" w:rsidP="00000000" w:rsidRDefault="00000000" w:rsidRPr="00000000" w14:paraId="00000049">
      <w:pPr>
        <w:pStyle w:val="Heading2"/>
        <w:spacing w:after="140" w:before="240" w:line="360" w:lineRule="auto"/>
        <w:rPr/>
      </w:pPr>
      <w:r w:rsidDel="00000000" w:rsidR="00000000" w:rsidRPr="00000000">
        <w:rPr>
          <w:rFonts w:ascii="Calibri" w:cs="Calibri" w:eastAsia="Calibri" w:hAnsi="Calibri"/>
          <w:b w:val="1"/>
          <w:bCs w:val="1"/>
          <w:color w:val="1a1a1a"/>
          <w:sz w:val="24"/>
          <w:szCs w:val="24"/>
          <w:rtl w:val="0"/>
        </w:rPr>
        <w:t xml:space="preserve">5.1 Objetivo general</w:t>
      </w:r>
      <w:r w:rsidDel="00000000" w:rsidR="00000000" w:rsidRPr="00000000">
        <w:rPr>
          <w:rtl w:val="0"/>
        </w:rPr>
      </w:r>
    </w:p>
    <w:p w:rsidR="00000000" w:rsidDel="00000000" w:rsidP="00000000" w:rsidRDefault="00000000" w:rsidRPr="00000000" w14:paraId="0000004A">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Diseñar y desarrollar un producto mínimo viable de una plataforma web que permita a una empresa capacitar a sus colaboradores mediante conexiones internas entre quienes tienen una habilidad, conocimiento o actitud que enseñar y quienes desean aprenderla, incorporando una estructura de medición estandarizada que permita a ENACTIVA y a sus empresas clientes tomar decisiones informadas sobre dónde invertir en desarrollo interno.</w:t>
      </w:r>
      <w:r w:rsidDel="00000000" w:rsidR="00000000" w:rsidRPr="00000000">
        <w:rPr>
          <w:rtl w:val="0"/>
        </w:rPr>
      </w:r>
    </w:p>
    <w:p w:rsidR="00000000" w:rsidDel="00000000" w:rsidP="00000000" w:rsidRDefault="00000000" w:rsidRPr="00000000" w14:paraId="0000004B">
      <w:pPr>
        <w:pStyle w:val="Heading2"/>
        <w:spacing w:after="140" w:before="240" w:line="360" w:lineRule="auto"/>
        <w:rPr/>
      </w:pPr>
      <w:r w:rsidDel="00000000" w:rsidR="00000000" w:rsidRPr="00000000">
        <w:rPr>
          <w:rFonts w:ascii="Calibri" w:cs="Calibri" w:eastAsia="Calibri" w:hAnsi="Calibri"/>
          <w:b w:val="1"/>
          <w:bCs w:val="1"/>
          <w:color w:val="1a1a1a"/>
          <w:sz w:val="24"/>
          <w:szCs w:val="24"/>
          <w:rtl w:val="0"/>
        </w:rPr>
        <w:t xml:space="preserve">5.2 Objetivos específicos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Modelar el dominio de personas, habilidades, cursos y relaciones de enseñanza-aprendizaje como una estructura de grafo, aplicando conceptos de teoría de grafos al motor de matching.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Diseñar e implementar un motor de matching persona a persona que conecte a quienes desean aprender con quienes pueden enseñar, según habilidad, contenido o actitud.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Construir una estructura de curso estandarizada (diagnóstico, clase, monitoreo) con una rúbrica de evaluación configurable pero de formato fijo.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Implementar un sistema de medición en tres momentos (diagnóstico, intermedio, monitoreo) que permita calcular el porcentaje de logro y su evolución en el tiempo.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Diseñar dos dashboards diferenciados — uno para el área de RRHH de la empresa cliente y otro para cada capacitador — que respondan preguntas de negocio concretas.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Definir y justificar una arquitectura de software y un stack tecnológico apropiados para el volumen y las restricciones reales del proyecto.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Validar iterativamente los requerimientos con la clienta mediante reuniones quincenales, manteniendo trazabilidad explícita de qué está confirmado, supuesto, propuesto o pendiente de definición.</w:t>
      </w:r>
      <w:r w:rsidDel="00000000" w:rsidR="00000000" w:rsidRPr="00000000">
        <w:rPr>
          <w:rtl w:val="0"/>
        </w:rPr>
      </w:r>
    </w:p>
    <w:p w:rsidR="00000000" w:rsidDel="00000000" w:rsidP="00000000" w:rsidRDefault="00000000" w:rsidRPr="00000000" w14:paraId="00000053">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6. </w:t>
      </w:r>
      <w:r w:rsidDel="00000000" w:rsidR="00000000" w:rsidRPr="00000000">
        <w:rPr>
          <w:rFonts w:ascii="Calibri" w:cs="Calibri" w:eastAsia="Calibri" w:hAnsi="Calibri"/>
          <w:b w:val="1"/>
          <w:bCs w:val="1"/>
          <w:color w:val="000000"/>
          <w:sz w:val="24"/>
          <w:szCs w:val="24"/>
          <w:rtl w:val="0"/>
        </w:rPr>
        <w:t xml:space="preserve">Propuesta de Metodología de Trabajo</w:t>
      </w:r>
      <w:r w:rsidDel="00000000" w:rsidR="00000000" w:rsidRPr="00000000">
        <w:rPr>
          <w:rtl w:val="0"/>
        </w:rPr>
      </w:r>
    </w:p>
    <w:p w:rsidR="00000000" w:rsidDel="00000000" w:rsidP="00000000" w:rsidRDefault="00000000" w:rsidRPr="00000000" w14:paraId="00000054">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El equipo adoptará una metodología ágil basada en iteraciones semanales y en la construcción de "vertical slices": pequeñas porciones de funcionalidad completas de extremo a extremo (interfaz, lógica de negocio y base de datos), en lugar de avanzar por capas completas del sistema. Este enfoque permite mostrar avances demostrables a ENACTIVA en cada reunión de acompañamiento y reduce el riesgo de descubrir errores de integración recién al final del semestre.</w:t>
      </w:r>
      <w:r w:rsidDel="00000000" w:rsidR="00000000" w:rsidRPr="00000000">
        <w:rPr>
          <w:rtl w:val="0"/>
        </w:rPr>
      </w:r>
    </w:p>
    <w:p w:rsidR="00000000" w:rsidDel="00000000" w:rsidP="00000000" w:rsidRDefault="00000000" w:rsidRPr="00000000" w14:paraId="00000055">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Cada semana de trabajo contempla: revisión de requerimientos nuevos o modificados, priorización del backlog, diseño de la porción de funcionalidad a construir, desarrollo, pruebas, y una demo interna de avance. Cada dos semanas, este ciclo se sincroniza con una reunión formal con ENACTIVA, en la que se valida el avance y se resuelven las preguntas abiertas acumuladas.</w:t>
      </w:r>
      <w:r w:rsidDel="00000000" w:rsidR="00000000" w:rsidRPr="00000000">
        <w:rPr>
          <w:rtl w:val="0"/>
        </w:rPr>
      </w:r>
    </w:p>
    <w:p w:rsidR="00000000" w:rsidDel="00000000" w:rsidP="00000000" w:rsidRDefault="00000000" w:rsidRPr="00000000" w14:paraId="00000056">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Toda la información recopilada de la clienta se clasifica de forma explícita en cuatro categorías — CONFIRMADO, SUPUESTO, PROPUESTA y PREGUNTA ABIERTA — lo que permite distinguir en todo momento qué decisiones están respaldadas por el cliente y cuáles son criterio del equipo, evitando construir funcionalidades sobre supuestos no validados.</w:t>
      </w:r>
      <w:r w:rsidDel="00000000" w:rsidR="00000000" w:rsidRPr="00000000">
        <w:rPr>
          <w:rtl w:val="0"/>
        </w:rPr>
      </w:r>
    </w:p>
    <w:p w:rsidR="00000000" w:rsidDel="00000000" w:rsidP="00000000" w:rsidRDefault="00000000" w:rsidRPr="00000000" w14:paraId="00000057">
      <w:pPr>
        <w:pStyle w:val="Heading1"/>
        <w:spacing w:after="180" w:before="340" w:line="360" w:lineRule="auto"/>
        <w:rPr>
          <w:b w:val="1"/>
          <w:bCs w:val="1"/>
          <w:color w:val="00347a"/>
          <w:sz w:val="28"/>
          <w:szCs w:val="28"/>
        </w:rPr>
      </w:pPr>
      <w:r w:rsidDel="00000000" w:rsidR="00000000" w:rsidRPr="00000000">
        <w:rPr>
          <w:rtl w:val="0"/>
        </w:rPr>
      </w:r>
    </w:p>
    <w:p w:rsidR="00000000" w:rsidDel="00000000" w:rsidP="00000000" w:rsidRDefault="00000000" w:rsidRPr="00000000" w14:paraId="00000058">
      <w:pPr>
        <w:pStyle w:val="Heading1"/>
        <w:spacing w:after="180" w:before="340" w:line="360" w:lineRule="auto"/>
        <w:rPr>
          <w:b w:val="1"/>
          <w:bCs w:val="1"/>
          <w:color w:val="00347a"/>
          <w:sz w:val="28"/>
          <w:szCs w:val="28"/>
        </w:rPr>
      </w:pPr>
      <w:r w:rsidDel="00000000" w:rsidR="00000000" w:rsidRPr="00000000">
        <w:rPr>
          <w:rtl w:val="0"/>
        </w:rPr>
      </w:r>
    </w:p>
    <w:p w:rsidR="00000000" w:rsidDel="00000000" w:rsidP="00000000" w:rsidRDefault="00000000" w:rsidRPr="00000000" w14:paraId="00000059">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7. Plan de Trabajo</w:t>
      </w:r>
      <w:r w:rsidDel="00000000" w:rsidR="00000000" w:rsidRPr="00000000">
        <w:rPr>
          <w:rtl w:val="0"/>
        </w:rPr>
      </w:r>
    </w:p>
    <w:p w:rsidR="00000000" w:rsidDel="00000000" w:rsidP="00000000" w:rsidRDefault="00000000" w:rsidRPr="00000000" w14:paraId="0000005A">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El plan de trabajo se organiza en fases incrementales a lo largo del semestre:</w:t>
      </w:r>
      <w:r w:rsidDel="00000000" w:rsidR="00000000" w:rsidRPr="00000000">
        <w:rPr>
          <w:rtl w:val="0"/>
        </w:rPr>
      </w:r>
    </w:p>
    <w:tbl>
      <w:tblPr>
        <w:tblStyle w:val="Table1"/>
        <w:tblW w:w="99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1605"/>
        <w:gridCol w:w="5100"/>
        <w:tblGridChange w:id="0">
          <w:tblGrid>
            <w:gridCol w:w="3210"/>
            <w:gridCol w:w="1605"/>
            <w:gridCol w:w="5100"/>
          </w:tblGrid>
        </w:tblGridChange>
      </w:tblGrid>
      <w:tr>
        <w:trPr>
          <w:cantSplit w:val="0"/>
          <w:tblHeader w:val="0"/>
        </w:trPr>
        <w:tc>
          <w:tcPr>
            <w:shd w:fill="434343" w:val="clear"/>
            <w:tcMar>
              <w:top w:w="100.0" w:type="dxa"/>
              <w:left w:w="120.0" w:type="dxa"/>
              <w:bottom w:w="100.0" w:type="dxa"/>
              <w:right w:w="120.0" w:type="dxa"/>
            </w:tcMar>
          </w:tcPr>
          <w:p w:rsidR="00000000" w:rsidDel="00000000" w:rsidP="00000000" w:rsidRDefault="00000000" w:rsidRPr="00000000" w14:paraId="0000005B">
            <w:pPr>
              <w:spacing w:line="360" w:lineRule="auto"/>
              <w:rPr/>
            </w:pPr>
            <w:r w:rsidDel="00000000" w:rsidR="00000000" w:rsidRPr="00000000">
              <w:rPr>
                <w:rFonts w:ascii="Calibri" w:cs="Calibri" w:eastAsia="Calibri" w:hAnsi="Calibri"/>
                <w:b w:val="1"/>
                <w:bCs w:val="1"/>
                <w:color w:val="ffffff"/>
                <w:sz w:val="21"/>
                <w:szCs w:val="21"/>
                <w:rtl w:val="0"/>
              </w:rPr>
              <w:t xml:space="preserve">Fase</w:t>
            </w:r>
            <w:r w:rsidDel="00000000" w:rsidR="00000000" w:rsidRPr="00000000">
              <w:rPr>
                <w:rtl w:val="0"/>
              </w:rPr>
            </w:r>
          </w:p>
        </w:tc>
        <w:tc>
          <w:tcPr>
            <w:shd w:fill="434343" w:val="clear"/>
            <w:tcMar>
              <w:top w:w="100.0" w:type="dxa"/>
              <w:left w:w="120.0" w:type="dxa"/>
              <w:bottom w:w="100.0" w:type="dxa"/>
              <w:right w:w="120.0" w:type="dxa"/>
            </w:tcMar>
          </w:tcPr>
          <w:p w:rsidR="00000000" w:rsidDel="00000000" w:rsidP="00000000" w:rsidRDefault="00000000" w:rsidRPr="00000000" w14:paraId="0000005C">
            <w:pPr>
              <w:spacing w:line="360" w:lineRule="auto"/>
              <w:rPr/>
            </w:pPr>
            <w:r w:rsidDel="00000000" w:rsidR="00000000" w:rsidRPr="00000000">
              <w:rPr>
                <w:rFonts w:ascii="Calibri" w:cs="Calibri" w:eastAsia="Calibri" w:hAnsi="Calibri"/>
                <w:b w:val="1"/>
                <w:bCs w:val="1"/>
                <w:color w:val="ffffff"/>
                <w:sz w:val="21"/>
                <w:szCs w:val="21"/>
                <w:rtl w:val="0"/>
              </w:rPr>
              <w:t xml:space="preserve">Semanas</w:t>
            </w:r>
            <w:r w:rsidDel="00000000" w:rsidR="00000000" w:rsidRPr="00000000">
              <w:rPr>
                <w:rtl w:val="0"/>
              </w:rPr>
            </w:r>
          </w:p>
        </w:tc>
        <w:tc>
          <w:tcPr>
            <w:shd w:fill="434343" w:val="clear"/>
            <w:tcMar>
              <w:top w:w="100.0" w:type="dxa"/>
              <w:left w:w="120.0" w:type="dxa"/>
              <w:bottom w:w="100.0" w:type="dxa"/>
              <w:right w:w="120.0" w:type="dxa"/>
            </w:tcMar>
          </w:tcPr>
          <w:p w:rsidR="00000000" w:rsidDel="00000000" w:rsidP="00000000" w:rsidRDefault="00000000" w:rsidRPr="00000000" w14:paraId="0000005D">
            <w:pPr>
              <w:spacing w:line="360" w:lineRule="auto"/>
              <w:rPr/>
            </w:pPr>
            <w:r w:rsidDel="00000000" w:rsidR="00000000" w:rsidRPr="00000000">
              <w:rPr>
                <w:rFonts w:ascii="Calibri" w:cs="Calibri" w:eastAsia="Calibri" w:hAnsi="Calibri"/>
                <w:b w:val="1"/>
                <w:bCs w:val="1"/>
                <w:color w:val="ffffff"/>
                <w:sz w:val="21"/>
                <w:szCs w:val="21"/>
                <w:rtl w:val="0"/>
              </w:rPr>
              <w:t xml:space="preserve">Foco principal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E">
            <w:pPr>
              <w:spacing w:line="360" w:lineRule="auto"/>
              <w:rPr/>
            </w:pPr>
            <w:r w:rsidDel="00000000" w:rsidR="00000000" w:rsidRPr="00000000">
              <w:rPr>
                <w:rFonts w:ascii="Calibri" w:cs="Calibri" w:eastAsia="Calibri" w:hAnsi="Calibri"/>
                <w:b w:val="0"/>
                <w:bCs w:val="0"/>
                <w:color w:val="1a1a1a"/>
                <w:sz w:val="21"/>
                <w:szCs w:val="21"/>
                <w:rtl w:val="0"/>
              </w:rPr>
              <w:t xml:space="preserve">Fase 0 — Setup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F">
            <w:pPr>
              <w:spacing w:line="360" w:lineRule="auto"/>
              <w:rPr/>
            </w:pPr>
            <w:r w:rsidDel="00000000" w:rsidR="00000000" w:rsidRPr="00000000">
              <w:rPr>
                <w:rFonts w:ascii="Calibri" w:cs="Calibri" w:eastAsia="Calibri" w:hAnsi="Calibri"/>
                <w:b w:val="0"/>
                <w:bCs w:val="0"/>
                <w:color w:val="1a1a1a"/>
                <w:sz w:val="21"/>
                <w:szCs w:val="21"/>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spacing w:line="360" w:lineRule="auto"/>
              <w:rPr/>
            </w:pPr>
            <w:r w:rsidDel="00000000" w:rsidR="00000000" w:rsidRPr="00000000">
              <w:rPr>
                <w:rFonts w:ascii="Calibri" w:cs="Calibri" w:eastAsia="Calibri" w:hAnsi="Calibri"/>
                <w:b w:val="0"/>
                <w:bCs w:val="0"/>
                <w:color w:val="1a1a1a"/>
                <w:sz w:val="21"/>
                <w:szCs w:val="21"/>
                <w:rtl w:val="0"/>
              </w:rPr>
              <w:t xml:space="preserve">Repositorio, esquema inicial de base de datos, wireframes, pipeline de CI.</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1">
            <w:pPr>
              <w:spacing w:line="360" w:lineRule="auto"/>
              <w:rPr/>
            </w:pPr>
            <w:r w:rsidDel="00000000" w:rsidR="00000000" w:rsidRPr="00000000">
              <w:rPr>
                <w:rFonts w:ascii="Calibri" w:cs="Calibri" w:eastAsia="Calibri" w:hAnsi="Calibri"/>
                <w:b w:val="0"/>
                <w:bCs w:val="0"/>
                <w:color w:val="1a1a1a"/>
                <w:sz w:val="21"/>
                <w:szCs w:val="21"/>
                <w:rtl w:val="0"/>
              </w:rPr>
              <w:t xml:space="preserve">MVP 0 — Vertical slice mínimo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spacing w:line="360" w:lineRule="auto"/>
              <w:rPr/>
            </w:pPr>
            <w:r w:rsidDel="00000000" w:rsidR="00000000" w:rsidRPr="00000000">
              <w:rPr>
                <w:rFonts w:ascii="Calibri" w:cs="Calibri" w:eastAsia="Calibri" w:hAnsi="Calibri"/>
                <w:b w:val="0"/>
                <w:bCs w:val="0"/>
                <w:color w:val="1a1a1a"/>
                <w:sz w:val="21"/>
                <w:szCs w:val="21"/>
                <w:rtl w:val="0"/>
              </w:rPr>
              <w:t xml:space="preserve">3–4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3">
            <w:pPr>
              <w:spacing w:line="360" w:lineRule="auto"/>
              <w:rPr/>
            </w:pPr>
            <w:r w:rsidDel="00000000" w:rsidR="00000000" w:rsidRPr="00000000">
              <w:rPr>
                <w:rFonts w:ascii="Calibri" w:cs="Calibri" w:eastAsia="Calibri" w:hAnsi="Calibri"/>
                <w:b w:val="0"/>
                <w:bCs w:val="0"/>
                <w:color w:val="1a1a1a"/>
                <w:sz w:val="21"/>
                <w:szCs w:val="21"/>
                <w:rtl w:val="0"/>
              </w:rPr>
              <w:t xml:space="preserve">Autenticación y roles, perfil de usuario, curso básico end-to-end.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4">
            <w:pPr>
              <w:spacing w:line="360" w:lineRule="auto"/>
              <w:rPr/>
            </w:pPr>
            <w:r w:rsidDel="00000000" w:rsidR="00000000" w:rsidRPr="00000000">
              <w:rPr>
                <w:rFonts w:ascii="Calibri" w:cs="Calibri" w:eastAsia="Calibri" w:hAnsi="Calibri"/>
                <w:b w:val="0"/>
                <w:bCs w:val="0"/>
                <w:color w:val="1a1a1a"/>
                <w:sz w:val="21"/>
                <w:szCs w:val="21"/>
                <w:rtl w:val="0"/>
              </w:rPr>
              <w:t xml:space="preserve">MVP 1 — Núcleo del producto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spacing w:line="360" w:lineRule="auto"/>
              <w:rPr/>
            </w:pPr>
            <w:r w:rsidDel="00000000" w:rsidR="00000000" w:rsidRPr="00000000">
              <w:rPr>
                <w:rFonts w:ascii="Calibri" w:cs="Calibri" w:eastAsia="Calibri" w:hAnsi="Calibri"/>
                <w:b w:val="0"/>
                <w:bCs w:val="0"/>
                <w:color w:val="1a1a1a"/>
                <w:sz w:val="21"/>
                <w:szCs w:val="21"/>
                <w:rtl w:val="0"/>
              </w:rPr>
              <w:t xml:space="preserve">5–8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6">
            <w:pPr>
              <w:spacing w:line="360" w:lineRule="auto"/>
              <w:rPr/>
            </w:pPr>
            <w:r w:rsidDel="00000000" w:rsidR="00000000" w:rsidRPr="00000000">
              <w:rPr>
                <w:rFonts w:ascii="Calibri" w:cs="Calibri" w:eastAsia="Calibri" w:hAnsi="Calibri"/>
                <w:b w:val="0"/>
                <w:bCs w:val="0"/>
                <w:color w:val="1a1a1a"/>
                <w:sz w:val="21"/>
                <w:szCs w:val="21"/>
                <w:rtl w:val="0"/>
              </w:rPr>
              <w:t xml:space="preserve">Motor de matching, rúbrica estandarizada, cálculo de logro.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7">
            <w:pPr>
              <w:spacing w:line="360" w:lineRule="auto"/>
              <w:rPr/>
            </w:pPr>
            <w:r w:rsidDel="00000000" w:rsidR="00000000" w:rsidRPr="00000000">
              <w:rPr>
                <w:rFonts w:ascii="Calibri" w:cs="Calibri" w:eastAsia="Calibri" w:hAnsi="Calibri"/>
                <w:b w:val="0"/>
                <w:bCs w:val="0"/>
                <w:color w:val="1a1a1a"/>
                <w:sz w:val="21"/>
                <w:szCs w:val="21"/>
                <w:rtl w:val="0"/>
              </w:rPr>
              <w:t xml:space="preserve">MVP 2 — Medición y dashboards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8">
            <w:pPr>
              <w:spacing w:line="360" w:lineRule="auto"/>
              <w:rPr/>
            </w:pPr>
            <w:r w:rsidDel="00000000" w:rsidR="00000000" w:rsidRPr="00000000">
              <w:rPr>
                <w:rFonts w:ascii="Calibri" w:cs="Calibri" w:eastAsia="Calibri" w:hAnsi="Calibri"/>
                <w:b w:val="0"/>
                <w:bCs w:val="0"/>
                <w:color w:val="1a1a1a"/>
                <w:sz w:val="21"/>
                <w:szCs w:val="21"/>
                <w:rtl w:val="0"/>
              </w:rPr>
              <w:t xml:space="preserve">9–11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9">
            <w:pPr>
              <w:spacing w:line="360" w:lineRule="auto"/>
              <w:rPr/>
            </w:pPr>
            <w:r w:rsidDel="00000000" w:rsidR="00000000" w:rsidRPr="00000000">
              <w:rPr>
                <w:rFonts w:ascii="Calibri" w:cs="Calibri" w:eastAsia="Calibri" w:hAnsi="Calibri"/>
                <w:b w:val="0"/>
                <w:bCs w:val="0"/>
                <w:color w:val="1a1a1a"/>
                <w:sz w:val="21"/>
                <w:szCs w:val="21"/>
                <w:rtl w:val="0"/>
              </w:rPr>
              <w:t xml:space="preserve">Tests en 3 momentos, ambos dashboards, exportación de datos.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spacing w:line="360" w:lineRule="auto"/>
              <w:rPr/>
            </w:pPr>
            <w:r w:rsidDel="00000000" w:rsidR="00000000" w:rsidRPr="00000000">
              <w:rPr>
                <w:rFonts w:ascii="Calibri" w:cs="Calibri" w:eastAsia="Calibri" w:hAnsi="Calibri"/>
                <w:b w:val="0"/>
                <w:bCs w:val="0"/>
                <w:color w:val="1a1a1a"/>
                <w:sz w:val="21"/>
                <w:szCs w:val="21"/>
                <w:rtl w:val="0"/>
              </w:rPr>
              <w:t xml:space="preserve">MVP 3 — Endurecimiento y demo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spacing w:line="360" w:lineRule="auto"/>
              <w:rPr/>
            </w:pPr>
            <w:r w:rsidDel="00000000" w:rsidR="00000000" w:rsidRPr="00000000">
              <w:rPr>
                <w:rFonts w:ascii="Calibri" w:cs="Calibri" w:eastAsia="Calibri" w:hAnsi="Calibri"/>
                <w:b w:val="0"/>
                <w:bCs w:val="0"/>
                <w:color w:val="1a1a1a"/>
                <w:sz w:val="21"/>
                <w:szCs w:val="21"/>
                <w:rtl w:val="0"/>
              </w:rPr>
              <w:t xml:space="preserve">12–14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C">
            <w:pPr>
              <w:spacing w:line="360" w:lineRule="auto"/>
              <w:rPr/>
            </w:pPr>
            <w:r w:rsidDel="00000000" w:rsidR="00000000" w:rsidRPr="00000000">
              <w:rPr>
                <w:rFonts w:ascii="Calibri" w:cs="Calibri" w:eastAsia="Calibri" w:hAnsi="Calibri"/>
                <w:b w:val="0"/>
                <w:bCs w:val="0"/>
                <w:color w:val="1a1a1a"/>
                <w:sz w:val="21"/>
                <w:szCs w:val="21"/>
                <w:rtl w:val="0"/>
              </w:rPr>
              <w:t xml:space="preserve">Panel admin ENACTIVA, seguridad, dataset de demostración, despliegue del piloto.</w:t>
            </w:r>
            <w:r w:rsidDel="00000000" w:rsidR="00000000" w:rsidRPr="00000000">
              <w:rPr>
                <w:rtl w:val="0"/>
              </w:rPr>
            </w:r>
          </w:p>
        </w:tc>
      </w:tr>
    </w:tbl>
    <w:p w:rsidR="00000000" w:rsidDel="00000000" w:rsidP="00000000" w:rsidRDefault="00000000" w:rsidRPr="00000000" w14:paraId="0000006D">
      <w:pPr>
        <w:spacing w:after="160" w:before="200" w:line="360" w:lineRule="auto"/>
        <w:rPr/>
      </w:pPr>
      <w:r w:rsidDel="00000000" w:rsidR="00000000" w:rsidRPr="00000000">
        <w:rPr>
          <w:rtl w:val="0"/>
        </w:rPr>
      </w:r>
    </w:p>
    <w:p w:rsidR="00000000" w:rsidDel="00000000" w:rsidP="00000000" w:rsidRDefault="00000000" w:rsidRPr="00000000" w14:paraId="0000006E">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plan es referencial y se ajustará según lo que ENACTIVA priorice en las reuniones de acompañamiento — en particular, la definición de cuál de las tres "capas" adicionales del producto (onboarding, desarrollo durante el trabajo, o recuperación de conocimiento de personas próximas a jubilar) conviene desarrollar primero, decisión que a la fecha de este informe permanece como pregunta abierta.</w:t>
      </w:r>
      <w:r w:rsidDel="00000000" w:rsidR="00000000" w:rsidRPr="00000000">
        <w:rPr>
          <w:rtl w:val="0"/>
        </w:rPr>
      </w:r>
    </w:p>
    <w:p w:rsidR="00000000" w:rsidDel="00000000" w:rsidP="00000000" w:rsidRDefault="00000000" w:rsidRPr="00000000" w14:paraId="0000006F">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8. Determinación de Evidencias y su Justificación</w:t>
      </w:r>
      <w:r w:rsidDel="00000000" w:rsidR="00000000" w:rsidRPr="00000000">
        <w:rPr>
          <w:rtl w:val="0"/>
        </w:rPr>
      </w:r>
    </w:p>
    <w:p w:rsidR="00000000" w:rsidDel="00000000" w:rsidP="00000000" w:rsidRDefault="00000000" w:rsidRPr="00000000" w14:paraId="00000070">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Las siguientes evidencias respaldan el proceso de levantamiento de requerimientos y las decisiones documentadas en este informe: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Transcripción completa de la primera reunión de levantamiento de requerimientos con Karina López Fuentealba (ENACTIVA), que sustenta la descripción del problema, los roles de usuario y la estructura de medición.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Apuntes de reunión complementarios, utilizados para contrastar y confirmar información de la transcripción.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Planilla de preguntas y requerimientos potenciales, con trazabilidad de prioridad y estado (confirmado/supuesto/propuesta/pregunta abierta), utilizada como guía en la reunión.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Documento de análisis técnico de arquitectura, que justifica cada decisión de stack tecnológico comparándola con alternativas descartadas.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vertAlign w:val="baseline"/>
          <w:rtl w:val="0"/>
        </w:rPr>
        <w:t xml:space="preserve">Mockups de las seis pantallas principales del sistema, que traducen visualmente los requerimientos funcionales levantados.</w:t>
      </w:r>
      <w:r w:rsidDel="00000000" w:rsidR="00000000" w:rsidRPr="00000000">
        <w:rPr>
          <w:rtl w:val="0"/>
        </w:rPr>
      </w:r>
    </w:p>
    <w:p w:rsidR="00000000" w:rsidDel="00000000" w:rsidP="00000000" w:rsidRDefault="00000000" w:rsidRPr="00000000" w14:paraId="00000076">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Cada evidencia fue generada inmediatamente después de la interacción con la clienta que la origina, minimizando la pérdida de información y permitiendo que el equipo — y el docente guía — puedan verificar el origen de cada requerimiento declarado como confirmado en este informe.</w:t>
      </w:r>
      <w:r w:rsidDel="00000000" w:rsidR="00000000" w:rsidRPr="00000000">
        <w:rPr>
          <w:rtl w:val="0"/>
        </w:rPr>
      </w:r>
    </w:p>
    <w:p w:rsidR="00000000" w:rsidDel="00000000" w:rsidP="00000000" w:rsidRDefault="00000000" w:rsidRPr="00000000" w14:paraId="00000077">
      <w:pPr>
        <w:pStyle w:val="Heading1"/>
        <w:spacing w:after="180" w:before="340" w:line="360" w:lineRule="auto"/>
        <w:rPr>
          <w:b w:val="1"/>
          <w:bCs w:val="1"/>
          <w:color w:val="00347a"/>
          <w:sz w:val="28"/>
          <w:szCs w:val="28"/>
        </w:rPr>
      </w:pPr>
      <w:r w:rsidDel="00000000" w:rsidR="00000000" w:rsidRPr="00000000">
        <w:rPr>
          <w:rtl w:val="0"/>
        </w:rPr>
      </w:r>
    </w:p>
    <w:p w:rsidR="00000000" w:rsidDel="00000000" w:rsidP="00000000" w:rsidRDefault="00000000" w:rsidRPr="00000000" w14:paraId="00000078">
      <w:pPr>
        <w:pStyle w:val="Heading1"/>
        <w:spacing w:after="180" w:before="340" w:line="360" w:lineRule="auto"/>
        <w:rPr>
          <w:color w:val="000000"/>
          <w:sz w:val="28"/>
          <w:szCs w:val="28"/>
        </w:rPr>
      </w:pPr>
      <w:r w:rsidDel="00000000" w:rsidR="00000000" w:rsidRPr="00000000">
        <w:rPr>
          <w:rFonts w:ascii="Calibri" w:cs="Calibri" w:eastAsia="Calibri" w:hAnsi="Calibri"/>
          <w:b w:val="1"/>
          <w:bCs w:val="1"/>
          <w:color w:val="000000"/>
          <w:sz w:val="24"/>
          <w:szCs w:val="24"/>
          <w:rtl w:val="0"/>
        </w:rPr>
        <w:t xml:space="preserve">9. </w:t>
      </w:r>
      <w:r w:rsidDel="00000000" w:rsidR="00000000" w:rsidRPr="00000000">
        <w:rPr>
          <w:rFonts w:ascii="Calibri" w:cs="Calibri" w:eastAsia="Calibri" w:hAnsi="Calibri"/>
          <w:b w:val="1"/>
          <w:bCs w:val="1"/>
          <w:color w:val="000000"/>
          <w:sz w:val="24"/>
          <w:szCs w:val="24"/>
          <w:rtl w:val="0"/>
        </w:rPr>
        <w:t xml:space="preserve">Cumplimiento de los Indicadores de Calidad</w:t>
      </w:r>
      <w:r w:rsidDel="00000000" w:rsidR="00000000" w:rsidRPr="00000000">
        <w:rPr>
          <w:rtl w:val="0"/>
        </w:rPr>
      </w:r>
    </w:p>
    <w:p w:rsidR="00000000" w:rsidDel="00000000" w:rsidP="00000000" w:rsidRDefault="00000000" w:rsidRPr="00000000" w14:paraId="00000079">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informe da cumplimiento a los indicadores de calidad definidos para la Fase 1 del proyecto APT: se presenta una descripción justificada del proyecto y su relevancia para un cliente real; se explicita su relación con las competencias del perfil de egreso y con los intereses profesionales del equipo; se argumenta la factibilidad técnica, de alcance y organizacional; se formulan objetivos generales y específicos coherentes con la disciplina de Ingeniería en Informática; se propone una metodología de trabajo pertinente a un proyecto de un semestre con cliente real; se entrega un plan de trabajo con fases e hitos verificables; y se documentan las evidencias que sustentan cada decisión, manteniendo trazabilidad explícita entre lo confirmado por el cliente y lo propuesto por el equipo.</w:t>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80" w:before="340" w:line="360" w:lineRule="auto"/>
        <w:rPr/>
      </w:pPr>
      <w:r w:rsidDel="00000000" w:rsidR="00000000" w:rsidRPr="00000000">
        <w:rPr>
          <w:rFonts w:ascii="Calibri" w:cs="Calibri" w:eastAsia="Calibri" w:hAnsi="Calibri"/>
          <w:b w:val="1"/>
          <w:bCs w:val="1"/>
          <w:color w:val="000000"/>
          <w:sz w:val="24"/>
          <w:szCs w:val="24"/>
          <w:rtl w:val="0"/>
        </w:rPr>
        <w:t xml:space="preserve">Individual Conclusions</w:t>
      </w:r>
      <w:r w:rsidDel="00000000" w:rsidR="00000000" w:rsidRPr="00000000">
        <w:rPr>
          <w:rtl w:val="0"/>
        </w:rPr>
      </w:r>
    </w:p>
    <w:p w:rsidR="00000000" w:rsidDel="00000000" w:rsidP="00000000" w:rsidRDefault="00000000" w:rsidRPr="00000000" w14:paraId="0000007C">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Nicolás Saldivia</w:t>
      </w:r>
      <w:r w:rsidDel="00000000" w:rsidR="00000000" w:rsidRPr="00000000">
        <w:rPr>
          <w:rtl w:val="0"/>
        </w:rPr>
      </w:r>
    </w:p>
    <w:p w:rsidR="00000000" w:rsidDel="00000000" w:rsidP="00000000" w:rsidRDefault="00000000" w:rsidRPr="00000000" w14:paraId="0000007D">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during this phase was researching ENACTIVA's background and synthesizing the information gathered across the two client meetings into a single point of reference the rest of the team could build from, including the confirmed/assumed/proposed/open-question classification used throughout this report. I feel most confident about how we structured the traceability of requirements: separating what Karina explicitly confirmed from what we inferred or proposed made it much easier to catch contradictions early, such as when the graph-theory approach initially seemed to conflict with the request for a standardized course structure. Before moving into development, I would still like to validate the exact volume of data expected per company, since several of our architecture decisions depend on that number being roughly correct.</w:t>
      </w:r>
      <w:r w:rsidDel="00000000" w:rsidR="00000000" w:rsidRPr="00000000">
        <w:rPr>
          <w:rtl w:val="0"/>
        </w:rPr>
      </w:r>
    </w:p>
    <w:p w:rsidR="00000000" w:rsidDel="00000000" w:rsidP="00000000" w:rsidRDefault="00000000" w:rsidRPr="00000000" w14:paraId="0000007E">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Benjamín Arias</w:t>
      </w:r>
      <w:r w:rsidDel="00000000" w:rsidR="00000000" w:rsidRPr="00000000">
        <w:rPr>
          <w:rtl w:val="0"/>
        </w:rPr>
      </w:r>
    </w:p>
    <w:p w:rsidR="00000000" w:rsidDel="00000000" w:rsidP="00000000" w:rsidRDefault="00000000" w:rsidRPr="00000000" w14:paraId="0000007F">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During this phase I focused on translating what we learned from ENACTIVA into concrete functional and non-functional requirements, and later into the four user roles and the RF/RNF summary presented to the client. The decision I feel most confident about is separating the two administration levels — a global ENACTIVA admin and a per-company HR admin — early on, since conflating them would have caused real design problems once we started modeling permissions. What I would still want to validate before development starts is the exact boundary of the “standardized rubric”: how much freedom a trainer actually has to define indicators without breaking the consistency ENACTIVA wants across courses is, in my view, still underspecified.</w:t>
      </w:r>
      <w:r w:rsidDel="00000000" w:rsidR="00000000" w:rsidRPr="00000000">
        <w:rPr>
          <w:rtl w:val="0"/>
        </w:rPr>
      </w:r>
    </w:p>
    <w:p w:rsidR="00000000" w:rsidDel="00000000" w:rsidP="00000000" w:rsidRDefault="00000000" w:rsidRPr="00000000" w14:paraId="00000080">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Patricio Márquez</w:t>
      </w:r>
      <w:r w:rsidDel="00000000" w:rsidR="00000000" w:rsidRPr="00000000">
        <w:rPr>
          <w:rtl w:val="0"/>
        </w:rPr>
      </w:r>
    </w:p>
    <w:p w:rsidR="00000000" w:rsidDel="00000000" w:rsidP="00000000" w:rsidRDefault="00000000" w:rsidRPr="00000000" w14:paraId="00000081">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was structuring the problem definition — turning what ENACTIVA described across both meetings into a clear situation, difficulty, and impact narrative that the rest of the requirements could be traced back to. I am most confident about anchoring the entire justification of the project on the “knowledge that does not circulate” problem, because every requirement we later defined, from the matching engine to the two dashboards, maps back to solving one part of that same problem. What I would still want to validate before development is how ENACTIVA plans to measure the impact of the pilot beyond the platform's own dashboards, since we have not yet discussed whether they have an external success metric in mind.</w:t>
      </w:r>
      <w:r w:rsidDel="00000000" w:rsidR="00000000" w:rsidRPr="00000000">
        <w:rPr>
          <w:rtl w:val="0"/>
        </w:rPr>
      </w:r>
    </w:p>
    <w:p w:rsidR="00000000" w:rsidDel="00000000" w:rsidP="00000000" w:rsidRDefault="00000000" w:rsidRPr="00000000" w14:paraId="00000082">
      <w:pPr>
        <w:pStyle w:val="Heading3"/>
        <w:spacing w:after="110" w:before="180" w:line="360" w:lineRule="auto"/>
        <w:rPr>
          <w:b w:val="1"/>
          <w:bCs w:val="1"/>
          <w:i w:val="1"/>
          <w:iCs w:val="1"/>
          <w:color w:val="1a1a1a"/>
          <w:sz w:val="23"/>
          <w:szCs w:val="23"/>
        </w:rPr>
      </w:pPr>
      <w:r w:rsidDel="00000000" w:rsidR="00000000" w:rsidRPr="00000000">
        <w:rPr>
          <w:rtl w:val="0"/>
        </w:rPr>
      </w:r>
    </w:p>
    <w:p w:rsidR="00000000" w:rsidDel="00000000" w:rsidP="00000000" w:rsidRDefault="00000000" w:rsidRPr="00000000" w14:paraId="00000083">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Giovanni Ortiz</w:t>
      </w:r>
      <w:r w:rsidDel="00000000" w:rsidR="00000000" w:rsidRPr="00000000">
        <w:rPr>
          <w:rtl w:val="0"/>
        </w:rPr>
      </w:r>
    </w:p>
    <w:p w:rsidR="00000000" w:rsidDel="00000000" w:rsidP="00000000" w:rsidRDefault="00000000" w:rsidRPr="00000000" w14:paraId="00000084">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was translating the confirmed requirements into the six screen mockups, and more specifically, working through how the graph-theory-based matching would actually appear and behave from a user's perspective. I am most confident about the decision to model matching as a simple, swipe-based interaction rather than a more complex recommendation interface — it matches exactly what Karina described in the meeting, and it keeps the first version of the matching engine simple enough to build within the semester. Before moving into development, I would still want to validate how ties or multiple good matches should be displayed, since the mockups currently assume a single best match is shown at a time, and that may not hold once real data is involved.</w:t>
      </w: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80" w:before="340" w:line="360" w:lineRule="auto"/>
        <w:rPr/>
      </w:pPr>
      <w:r w:rsidDel="00000000" w:rsidR="00000000" w:rsidRPr="00000000">
        <w:rPr>
          <w:rFonts w:ascii="Calibri" w:cs="Calibri" w:eastAsia="Calibri" w:hAnsi="Calibri"/>
          <w:b w:val="1"/>
          <w:bCs w:val="1"/>
          <w:color w:val="000000"/>
          <w:sz w:val="24"/>
          <w:szCs w:val="24"/>
          <w:rtl w:val="0"/>
        </w:rPr>
        <w:t xml:space="preserve">Reflection</w:t>
      </w:r>
      <w:r w:rsidDel="00000000" w:rsidR="00000000" w:rsidRPr="00000000">
        <w:rPr>
          <w:rtl w:val="0"/>
        </w:rPr>
      </w:r>
    </w:p>
    <w:p w:rsidR="00000000" w:rsidDel="00000000" w:rsidP="00000000" w:rsidRDefault="00000000" w:rsidRPr="00000000" w14:paraId="00000087">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Nicolás Saldivia</w:t>
      </w:r>
      <w:r w:rsidDel="00000000" w:rsidR="00000000" w:rsidRPr="00000000">
        <w:rPr>
          <w:rtl w:val="0"/>
        </w:rPr>
      </w:r>
    </w:p>
    <w:p w:rsidR="00000000" w:rsidDel="00000000" w:rsidP="00000000" w:rsidRDefault="00000000" w:rsidRPr="00000000" w14:paraId="00000088">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What surprised me most was how much requirements can shift between two meetings with the same client, even when both meetings are well documented. I expected the first meeting to give us a mostly final picture; instead, it gave us a direction that the second meeting then refined and partly reshaped. That taught me a skill I did not expect this phase to demand: staying comfortable presenting a plan while explicitly labeling parts of it as provisional, instead of waiting until everything is certain. Compared to previous academic projects, where requirements were usually handed to us as a finished document, this experience felt much closer to what I imagine professional consulting work looks like — slower to stabilize, but far more honest about what is actually known.</w:t>
      </w:r>
      <w:r w:rsidDel="00000000" w:rsidR="00000000" w:rsidRPr="00000000">
        <w:rPr>
          <w:rtl w:val="0"/>
        </w:rPr>
      </w:r>
    </w:p>
    <w:p w:rsidR="00000000" w:rsidDel="00000000" w:rsidP="00000000" w:rsidRDefault="00000000" w:rsidRPr="00000000" w14:paraId="00000089">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Benjamín Arias</w:t>
      </w:r>
      <w:r w:rsidDel="00000000" w:rsidR="00000000" w:rsidRPr="00000000">
        <w:rPr>
          <w:rtl w:val="0"/>
        </w:rPr>
      </w:r>
    </w:p>
    <w:p w:rsidR="00000000" w:rsidDel="00000000" w:rsidP="00000000" w:rsidRDefault="00000000" w:rsidRPr="00000000" w14:paraId="0000008A">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This phase demanded a kind of precision I was not used to: writing requirements that are useful to both a non-technical client and a future developer reading them months from now. Karina would describe an idea in business terms, and my job was to turn that into something specific enough to build without silently adding assumptions she never confirmed. That was harder than I expected, and more than once I caught myself about to write down something that sounded reasonable but was not actually something she had said. Compared to previous coursework, where requirements were usually already “clean”, this phase made me much more aware of the gap between what a client says and what a requirements document ends up saying.</w:t>
      </w:r>
      <w:r w:rsidDel="00000000" w:rsidR="00000000" w:rsidRPr="00000000">
        <w:rPr>
          <w:rtl w:val="0"/>
        </w:rPr>
      </w:r>
    </w:p>
    <w:p w:rsidR="00000000" w:rsidDel="00000000" w:rsidP="00000000" w:rsidRDefault="00000000" w:rsidRPr="00000000" w14:paraId="0000008B">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Patricio Márquez</w:t>
      </w:r>
      <w:r w:rsidDel="00000000" w:rsidR="00000000" w:rsidRPr="00000000">
        <w:rPr>
          <w:rtl w:val="0"/>
        </w:rPr>
      </w:r>
    </w:p>
    <w:p w:rsidR="00000000" w:rsidDel="00000000" w:rsidP="00000000" w:rsidRDefault="00000000" w:rsidRPr="00000000" w14:paraId="0000008C">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I did not expect how much of this phase would be about listening rather than designing. Early on I wanted to jump to solutions, and I had to consciously slow down and make sure we understood the actual problem — not the first version of it, but the one that survived two rounds of clarification with the client. That is a skill I associate more with product or business roles than with engineering, and I was surprised how central it turned out to be here. Compared to previous projects, where the problem statement was usually given to us at the start and stayed fixed, this experience made clear how much of real engineering work happens before any code gets written.</w:t>
      </w:r>
      <w:r w:rsidDel="00000000" w:rsidR="00000000" w:rsidRPr="00000000">
        <w:rPr>
          <w:rtl w:val="0"/>
        </w:rPr>
      </w:r>
    </w:p>
    <w:p w:rsidR="00000000" w:rsidDel="00000000" w:rsidP="00000000" w:rsidRDefault="00000000" w:rsidRPr="00000000" w14:paraId="0000008D">
      <w:pPr>
        <w:pStyle w:val="Heading3"/>
        <w:spacing w:after="110" w:before="180" w:line="360" w:lineRule="auto"/>
        <w:rPr>
          <w:b w:val="1"/>
          <w:bCs w:val="1"/>
          <w:i w:val="1"/>
          <w:iCs w:val="1"/>
          <w:color w:val="1a1a1a"/>
          <w:sz w:val="23"/>
          <w:szCs w:val="23"/>
        </w:rPr>
      </w:pPr>
      <w:r w:rsidDel="00000000" w:rsidR="00000000" w:rsidRPr="00000000">
        <w:rPr>
          <w:rtl w:val="0"/>
        </w:rPr>
      </w:r>
    </w:p>
    <w:p w:rsidR="00000000" w:rsidDel="00000000" w:rsidP="00000000" w:rsidRDefault="00000000" w:rsidRPr="00000000" w14:paraId="0000008E">
      <w:pPr>
        <w:pStyle w:val="Heading3"/>
        <w:spacing w:after="110" w:before="180" w:line="360" w:lineRule="auto"/>
        <w:rPr>
          <w:b w:val="1"/>
          <w:bCs w:val="1"/>
          <w:i w:val="1"/>
          <w:iCs w:val="1"/>
          <w:color w:val="1a1a1a"/>
          <w:sz w:val="23"/>
          <w:szCs w:val="23"/>
        </w:rPr>
      </w:pPr>
      <w:r w:rsidDel="00000000" w:rsidR="00000000" w:rsidRPr="00000000">
        <w:rPr>
          <w:rtl w:val="0"/>
        </w:rPr>
      </w:r>
    </w:p>
    <w:p w:rsidR="00000000" w:rsidDel="00000000" w:rsidP="00000000" w:rsidRDefault="00000000" w:rsidRPr="00000000" w14:paraId="0000008F">
      <w:pPr>
        <w:pStyle w:val="Heading3"/>
        <w:spacing w:after="110" w:before="180" w:line="360" w:lineRule="auto"/>
        <w:rPr/>
      </w:pPr>
      <w:r w:rsidDel="00000000" w:rsidR="00000000" w:rsidRPr="00000000">
        <w:rPr>
          <w:rFonts w:ascii="Calibri" w:cs="Calibri" w:eastAsia="Calibri" w:hAnsi="Calibri"/>
          <w:b w:val="1"/>
          <w:bCs w:val="1"/>
          <w:i w:val="1"/>
          <w:iCs w:val="1"/>
          <w:color w:val="1a1a1a"/>
          <w:sz w:val="23"/>
          <w:szCs w:val="23"/>
          <w:rtl w:val="0"/>
        </w:rPr>
        <w:t xml:space="preserve">Giovanni Ortiz</w:t>
      </w:r>
      <w:r w:rsidDel="00000000" w:rsidR="00000000" w:rsidRPr="00000000">
        <w:rPr>
          <w:rtl w:val="0"/>
        </w:rPr>
      </w:r>
    </w:p>
    <w:p w:rsidR="00000000" w:rsidDel="00000000" w:rsidP="00000000" w:rsidRDefault="00000000" w:rsidRPr="00000000" w14:paraId="00000090">
      <w:pPr>
        <w:spacing w:after="160" w:line="360" w:lineRule="auto"/>
        <w:jc w:val="both"/>
        <w:rPr/>
      </w:pPr>
      <w:r w:rsidDel="00000000" w:rsidR="00000000" w:rsidRPr="00000000">
        <w:rPr>
          <w:rFonts w:ascii="Calibri" w:cs="Calibri" w:eastAsia="Calibri" w:hAnsi="Calibri"/>
          <w:b w:val="0"/>
          <w:bCs w:val="0"/>
          <w:i w:val="0"/>
          <w:iCs w:val="0"/>
          <w:color w:val="1a1a1a"/>
          <w:sz w:val="22"/>
          <w:szCs w:val="22"/>
          <w:rtl w:val="0"/>
        </w:rPr>
        <w:t xml:space="preserve">What surprised me most was how much a single design decision — like presenting matching as a swipe instead of a filtered list — can carry the weight of an entire technical concept, in this case graph theory, without ever showing the client a graph. It forced me to think about interface design and the underlying data model at the same time, rather than treating them as separate steps. That connection between UX and architecture is a skill I had not really practiced before this phase. Compared to previous academic projects, where the interface was usually the last thing to consider, here it became one of the first things we had to get right, since it was how we validated whether the client's abstract idea of “matching people” actually made sense as a product.</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-335277</wp:posOffset>
          </wp:positionV>
          <wp:extent cx="2224088" cy="71264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088" cy="71264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U/tfTt1KN+0n1qBpeTOSB/5uQ==">CgMxLjA4AHIhMVRFbWZQWFF5Y1ByM1ktdWlZQkJfUERrZUVMMjBwY0pa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2026-09-08T14:37:47.084Z</dcterms:created>
  <dc:creator>Un-named</dc:creator>
</cp:coreProperties>
</file>

<file path=docProps/custom.xml><?xml version="1.0" encoding="utf-8"?>
<Properties xmlns="http://schemas.openxmlformats.org/officeDocument/2006/custom-properties" xmlns:vt="http://schemas.openxmlformats.org/officeDocument/2006/docPropsVTypes"/>
</file>