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rFonts w:ascii="Calibri" w:cs="Calibri" w:eastAsia="Calibri" w:hAnsi="Calibri"/>
          <w:b w:val="1"/>
          <w:bCs w:val="1"/>
          <w:sz w:val="44"/>
          <w:szCs w:val="44"/>
          <w:rtl w:val="0"/>
        </w:rPr>
        <w:t xml:space="preserve">Entrega de Encargo Formativa</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color w:val="1a1a1a"/>
          <w:sz w:val="26"/>
          <w:szCs w:val="26"/>
          <w:rtl w:val="0"/>
        </w:rPr>
        <w:t xml:space="preserve">Definición Proyecto APT</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color w:val="1a1a1a"/>
          <w:sz w:val="22"/>
          <w:szCs w:val="22"/>
          <w:rtl w:val="0"/>
        </w:rPr>
        <w:t xml:space="preserve">Asignatura: Capstone (PTY4614)</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color w:val="1a1a1a"/>
          <w:sz w:val="22"/>
          <w:szCs w:val="22"/>
          <w:rtl w:val="0"/>
        </w:rPr>
        <w:t xml:space="preserve">Proyecto: plataforma de capacitación entre pares para ENACTIVA SpA</w:t>
      </w:r>
      <w:r w:rsidDel="00000000" w:rsidR="00000000" w:rsidRPr="00000000">
        <w:rPr>
          <w:rtl w:val="0"/>
        </w:rPr>
      </w:r>
    </w:p>
    <w:p w:rsidR="00000000" w:rsidDel="00000000" w:rsidP="00000000" w:rsidRDefault="00000000" w:rsidRPr="00000000" w14:paraId="00000007">
      <w:pPr>
        <w:spacing w:after="500" w:lineRule="auto"/>
        <w:jc w:val="center"/>
        <w:rPr/>
      </w:pPr>
      <w:r w:rsidDel="00000000" w:rsidR="00000000" w:rsidRPr="00000000">
        <w:rPr>
          <w:rFonts w:ascii="Calibri" w:cs="Calibri" w:eastAsia="Calibri" w:hAnsi="Calibri"/>
          <w:color w:val="1a1a1a"/>
          <w:sz w:val="22"/>
          <w:szCs w:val="22"/>
          <w:rtl w:val="0"/>
        </w:rPr>
        <w:t xml:space="preserve">Cliente: Karina López Fuentealba, CEO y Directora Académica, ENACTIVA SpA</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b w:val="1"/>
          <w:bCs w:val="1"/>
          <w:color w:val="1a1a1a"/>
          <w:sz w:val="22"/>
          <w:szCs w:val="22"/>
          <w:rtl w:val="0"/>
        </w:rPr>
        <w:t xml:space="preserve">Integrantes:</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color w:val="1a1a1a"/>
          <w:sz w:val="22"/>
          <w:szCs w:val="22"/>
          <w:rtl w:val="0"/>
        </w:rPr>
        <w:t xml:space="preserve">Nicolás Saldivia</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color w:val="1a1a1a"/>
          <w:sz w:val="22"/>
          <w:szCs w:val="22"/>
          <w:rtl w:val="0"/>
        </w:rPr>
        <w:t xml:space="preserve">Benjamín Arias</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Calibri" w:cs="Calibri" w:eastAsia="Calibri" w:hAnsi="Calibri"/>
          <w:color w:val="1a1a1a"/>
          <w:sz w:val="22"/>
          <w:szCs w:val="22"/>
          <w:rtl w:val="0"/>
        </w:rPr>
        <w:t xml:space="preserve">Patricio Márquez</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Calibri" w:cs="Calibri" w:eastAsia="Calibri" w:hAnsi="Calibri"/>
          <w:color w:val="1a1a1a"/>
          <w:sz w:val="22"/>
          <w:szCs w:val="22"/>
          <w:rtl w:val="0"/>
        </w:rPr>
        <w:t xml:space="preserve">Giovanni Ortiz</w:t>
      </w:r>
      <w:r w:rsidDel="00000000" w:rsidR="00000000" w:rsidRPr="00000000">
        <w:rPr>
          <w:rtl w:val="0"/>
        </w:rPr>
      </w:r>
    </w:p>
    <w:p w:rsidR="00000000" w:rsidDel="00000000" w:rsidP="00000000" w:rsidRDefault="00000000" w:rsidRPr="00000000" w14:paraId="0000000D">
      <w:pPr>
        <w:spacing w:before="900" w:lineRule="auto"/>
        <w:jc w:val="center"/>
        <w:rPr>
          <w:color w:val="555555"/>
        </w:rPr>
      </w:pPr>
      <w:r w:rsidDel="00000000" w:rsidR="00000000" w:rsidRPr="00000000">
        <w:rPr>
          <w:rtl w:val="0"/>
        </w:rPr>
      </w:r>
    </w:p>
    <w:p w:rsidR="00000000" w:rsidDel="00000000" w:rsidP="00000000" w:rsidRDefault="00000000" w:rsidRPr="00000000" w14:paraId="0000000E">
      <w:pPr>
        <w:spacing w:before="900" w:lineRule="auto"/>
        <w:jc w:val="center"/>
        <w:rPr>
          <w:color w:val="555555"/>
        </w:rPr>
      </w:pPr>
      <w:r w:rsidDel="00000000" w:rsidR="00000000" w:rsidRPr="00000000">
        <w:rPr>
          <w:rtl w:val="0"/>
        </w:rPr>
      </w:r>
    </w:p>
    <w:p w:rsidR="00000000" w:rsidDel="00000000" w:rsidP="00000000" w:rsidRDefault="00000000" w:rsidRPr="00000000" w14:paraId="0000000F">
      <w:pPr>
        <w:spacing w:before="900" w:lineRule="auto"/>
        <w:jc w:val="center"/>
        <w:rPr>
          <w:color w:val="555555"/>
        </w:rPr>
      </w:pPr>
      <w:r w:rsidDel="00000000" w:rsidR="00000000" w:rsidRPr="00000000">
        <w:rPr>
          <w:rtl w:val="0"/>
        </w:rPr>
      </w:r>
    </w:p>
    <w:p w:rsidR="00000000" w:rsidDel="00000000" w:rsidP="00000000" w:rsidRDefault="00000000" w:rsidRPr="00000000" w14:paraId="00000010">
      <w:pPr>
        <w:spacing w:before="900" w:lineRule="auto"/>
        <w:jc w:val="center"/>
        <w:rPr>
          <w:color w:val="555555"/>
        </w:rPr>
      </w:pPr>
      <w:r w:rsidDel="00000000" w:rsidR="00000000" w:rsidRPr="00000000">
        <w:rPr>
          <w:rtl w:val="0"/>
        </w:rPr>
      </w:r>
    </w:p>
    <w:p w:rsidR="00000000" w:rsidDel="00000000" w:rsidP="00000000" w:rsidRDefault="00000000" w:rsidRPr="00000000" w14:paraId="00000011">
      <w:pPr>
        <w:spacing w:before="900" w:lineRule="auto"/>
        <w:jc w:val="center"/>
        <w:rPr>
          <w:color w:val="555555"/>
        </w:rPr>
      </w:pPr>
      <w:r w:rsidDel="00000000" w:rsidR="00000000" w:rsidRPr="00000000">
        <w:rPr>
          <w:rtl w:val="0"/>
        </w:rPr>
      </w:r>
    </w:p>
    <w:p w:rsidR="00000000" w:rsidDel="00000000" w:rsidP="00000000" w:rsidRDefault="00000000" w:rsidRPr="00000000" w14:paraId="00000012">
      <w:pPr>
        <w:spacing w:before="900" w:lineRule="auto"/>
        <w:jc w:val="center"/>
        <w:rPr>
          <w:color w:val="555555"/>
        </w:rPr>
      </w:pPr>
      <w:r w:rsidDel="00000000" w:rsidR="00000000" w:rsidRPr="00000000">
        <w:rPr>
          <w:rtl w:val="0"/>
        </w:rPr>
      </w:r>
    </w:p>
    <w:p w:rsidR="00000000" w:rsidDel="00000000" w:rsidP="00000000" w:rsidRDefault="00000000" w:rsidRPr="00000000" w14:paraId="00000013">
      <w:pPr>
        <w:spacing w:before="900" w:lineRule="auto"/>
        <w:jc w:val="center"/>
        <w:rPr>
          <w:color w:val="555555"/>
        </w:rPr>
      </w:pPr>
      <w:r w:rsidDel="00000000" w:rsidR="00000000" w:rsidRPr="00000000">
        <w:rPr>
          <w:rtl w:val="0"/>
        </w:rPr>
      </w:r>
    </w:p>
    <w:p w:rsidR="00000000" w:rsidDel="00000000" w:rsidP="00000000" w:rsidRDefault="00000000" w:rsidRPr="00000000" w14:paraId="00000014">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Índice</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sdt>
      <w:sdtPr>
        <w:id w:val="-1786289597"/>
        <w:docPartObj>
          <w:docPartGallery w:val="Table of Contents"/>
          <w:docPartUnique w:val="1"/>
        </w:docPartObj>
      </w:sdtPr>
      <w:sdtContent>
        <w:p w:rsidR="00000000" w:rsidDel="00000000" w:rsidP="00000000" w:rsidRDefault="00000000" w:rsidRPr="00000000" w14:paraId="00000016">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Descripción Breve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Relación con nuestros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4. Argumento de Factibilidad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Individual Conclusions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report presents the early-stage definition of a peer-to-peer corporate training platform, developed as a Capstone project (PTY4614) for the real client ENACTIVA SpA, a Chilean corporate learning company led by Karina López Fuentealba. The platform lets a company's own employees teach each other skills they already possess, instead of relying on external trainers, following a standardized course structure and a graph-theory-based matching engine.</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document briefly describes the project and its relevance, its connection to our graduate profile competencies and professional interests, and the argument for why the project is feasible within the timeframe of the course. It closes with our assessment of how the project design meets the discipline's quality indicators at this early stage.</w:t>
      </w:r>
      <w:r w:rsidDel="00000000" w:rsidR="00000000" w:rsidRPr="00000000">
        <w:rPr>
          <w:rtl w:val="0"/>
        </w:rPr>
      </w:r>
    </w:p>
    <w:p w:rsidR="00000000" w:rsidDel="00000000" w:rsidP="00000000" w:rsidRDefault="00000000" w:rsidRPr="00000000" w14:paraId="0000002B">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Resumen</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informe presenta la definición temprana de una plataforma de capacitación entre pares, desarrollada como proyecto Capstone (PTY4614) para el cliente real ENACTIVA SpA, empresa chilena de capacitación corporativa dirigida por Karina López Fuentealba. La plataforma permite que los propios colaboradores de una empresa se enseñen entre sí habilidades que ya poseen, en lugar de depender de capacitadores externos, siguiendo una estructura de curso estandarizada y un motor de matching basado en teoría de grafos.</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documento describe brevemente el proyecto y su relevancia, su relación con las competencias del perfil de egreso y con los intereses profesionales del equipo, y el argumento de por qué el proyecto es factible dentro del plazo de la asignatura. Cierra con nuestra evaluación de cómo el diseño del proyecto cumple con los indicadores de calidad de la disciplina en esta etapa temprana.</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1. Descripción Breve del Proyecto APT</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proyecto consiste en una plataforma web que permite a una empresa capacitar a sus propios colaboradores utilizando el conocimiento que ya existe dentro de la organización, en lugar de contratar capacitación externa. La idea central, planteada por la CEO de ENACTIVA, Karina López Fuentealba, se resume en la analogía de la "Universidad McDonald's": formar a los propios trabajadores con trabajadores de la misma empresa, conectándolos mediante un motor de matching basado en teoría de grafos y midiendo el impacto real de cada capacitación en tres momentos (diagnóstico, intermedio y monitoreo).</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Su relevancia para el campo laboral de nuestra carrera es directa: el proyecto exige levantar requerimientos con una clienta real cuyo alcance cambió entre reuniones, tomar decisiones de arquitectura justificadas frente a alternativas concretas, y diseñar la lógica de un producto de software con reglas de negocio no triviales es decir, moviliza el ciclo completo de un proyecto de ingeniería real, no un ejercicio simulado con requerimientos fijos de antemano.</w:t>
      </w:r>
      <w:r w:rsidDel="00000000" w:rsidR="00000000" w:rsidRPr="00000000">
        <w:rPr>
          <w:rtl w:val="0"/>
        </w:rPr>
      </w:r>
    </w:p>
    <w:p w:rsidR="00000000" w:rsidDel="00000000" w:rsidP="00000000" w:rsidRDefault="00000000" w:rsidRPr="00000000" w14:paraId="00000032">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desarrollo de este proyecto moviliza de forma directa la competencia de gestionar proyectos informáticos, ofreciendo alternativas para la toma de decisiones: el equipo debió levantar y priorizar requerimientos junto a la clienta, y decidir de forma justificada qué queda dentro y fuera del alcance del MVP en un contexto de información cambiante.</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También se relaciona con la competencia de construir modelos de datos escalables, ya que el diseño de las pantallas del sistema (perfil, matching, curso, rúbrica) obligó a pensar desde ya en la estructura de datos subyacente personas, relaciones de enseñanza, cursos y mediciones — antes de escribir una sola línea de backend. A medida que el proyecto avance hacia la construcción, se incorporará también la competencia de desarrollar una solución de software utilizando técnicas que sistematicen el proceso de desarrollo, actualmente en etapa de diseño.</w:t>
      </w:r>
      <w:r w:rsidDel="00000000" w:rsidR="00000000" w:rsidRPr="00000000">
        <w:rPr>
          <w:rtl w:val="0"/>
        </w:rPr>
      </w:r>
    </w:p>
    <w:p w:rsidR="00000000" w:rsidDel="00000000" w:rsidP="00000000" w:rsidRDefault="00000000" w:rsidRPr="00000000" w14:paraId="00000035">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3. Relación con nuestros Intereses Profesionales</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Como equipo, este proyecto conecta con intereses profesionales concretos en varios frentes. Por un lado, el interés por el desarrollo full-stack de productos reales, con responsabilidad sobre el ciclo completo: desde el levantamiento de requerimientos con la clienta hasta el diseño de arquitectura y las decisiones de experiencia de usuario reflejadas en los mockups del sistema.</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Por otro lado, el interés por el modelamiento de datos y algoritmos aplicados a problemas de personas y organizaciones en este caso, teoría de grafos aplicada a un motor de matching entre quien enseña y quien aprende un área con proyección tanto académica como profesional. Finalmente, nos interesa trabajar con un cliente real y no con un proyecto simulado: enfrentar cambios de alcance entre reuniones y resolver ambigüedades de negocio antes de tomar decisiones técnicas es exactamente el tipo de práctica profesional que buscamos desarrollar antes de egresar.</w:t>
      </w:r>
      <w:r w:rsidDel="00000000" w:rsidR="00000000" w:rsidRPr="00000000">
        <w:rPr>
          <w:rtl w:val="0"/>
        </w:rPr>
      </w:r>
    </w:p>
    <w:p w:rsidR="00000000" w:rsidDel="00000000" w:rsidP="00000000" w:rsidRDefault="00000000" w:rsidRPr="00000000" w14:paraId="00000038">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4. Argumento de Factibilidad</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proyecto es factible de realizar dentro del tiempo de la asignatura porque su alcance fue acotado explícitamente junto con la clienta desde la primera reunión: sin IA generativa para creación de cursos, sin arquitectura multiempresa, sin certificación externa y sin personalización visual por empresa. Esto reduce el trabajo de ingeniería a lo esencial  matching, estructura de curso estandarizada y medición en tres momentos dentro de un semestre, con un piloto acotado a 3-4 empresas.</w:t>
      </w:r>
      <w:r w:rsidDel="00000000" w:rsidR="00000000" w:rsidRPr="00000000">
        <w:rPr>
          <w:rtl w:val="0"/>
        </w:rPr>
      </w:r>
    </w:p>
    <w:p w:rsidR="00000000" w:rsidDel="00000000" w:rsidP="00000000" w:rsidRDefault="00000000" w:rsidRPr="00000000" w14:paraId="0000003A">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stack tecnológico elegido (React, NestJS, PostgreSQL) está compuesto por tecnologías maduras y ya conocidas al menos parcialmente por el equipo, lo que reduce el riesgo de aprendizaje frente al tiempo disponible. Como posible dificultad, identificamos que el diseño del esquema de datos de la rúbrica (editable por el capacitador pero de estructura fija) es la pieza de mayor incertidumbre técnica; para abordarla, acordamos prototipar esa parte del modelo de datos antes que cualquier pantalla adicional, en vez de descubrir el problema a mitad de semestre. Como factor externo relevante, contamos con el acompañamiento quincenal de la clienta, que permite corregir el rumbo de forma temprana si es necesario.</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Individual Conclusions</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libri" w:cs="Calibri" w:eastAsia="Calibri" w:hAnsi="Calibri"/>
          <w:b w:val="0"/>
          <w:bCs w:val="0"/>
          <w:i w:val="1"/>
          <w:iCs w:val="1"/>
          <w:color w:val="1a1a1a"/>
          <w:sz w:val="22"/>
          <w:szCs w:val="22"/>
          <w:rtl w:val="0"/>
        </w:rPr>
        <w:t xml:space="preserve">Each team member reflects below, in English, on their personal contribution and technical learning during this stage.</w:t>
      </w:r>
      <w:r w:rsidDel="00000000" w:rsidR="00000000" w:rsidRPr="00000000">
        <w:rPr>
          <w:rtl w:val="0"/>
        </w:rPr>
      </w:r>
    </w:p>
    <w:p w:rsidR="00000000" w:rsidDel="00000000" w:rsidP="00000000" w:rsidRDefault="00000000" w:rsidRPr="00000000" w14:paraId="0000003D">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Nicolás Saldivia</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during this phase was researching ENACTIVA's background and synthesizing the information gathered across the client meetings into a single point of reference the rest of the team could build from, including the confirmed/assumed/proposed/open-question classification used throughout our work. I feel most confident about how we structured the traceability of requirements: separating what Karina explicitly confirmed from what we inferred or proposed made it much easier to catch contradictions early, such as when the graph-theory approach initially seemed to conflict with the request for a standardized course structure. Before moving into development, I would still like to validate the exact volume of data expected per company, since several of our architecture decisions depend on that number being roughly correct.</w:t>
      </w:r>
      <w:r w:rsidDel="00000000" w:rsidR="00000000" w:rsidRPr="00000000">
        <w:rPr>
          <w:rtl w:val="0"/>
        </w:rPr>
      </w:r>
    </w:p>
    <w:p w:rsidR="00000000" w:rsidDel="00000000" w:rsidP="00000000" w:rsidRDefault="00000000" w:rsidRPr="00000000" w14:paraId="0000003F">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Benjamín Arias</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During this phase I focused on translating what we learned from ENACTIVA into concrete functional and non-functional requirements, and later into the four user roles and the RF/RNF summary presented to the client. The decision I feel most confident about is separating the two administration </w:t>
      </w:r>
      <w:r w:rsidDel="00000000" w:rsidR="00000000" w:rsidRPr="00000000">
        <w:rPr>
          <w:color w:val="1a1a1a"/>
          <w:rtl w:val="0"/>
        </w:rPr>
        <w:t xml:space="preserve">levels: a global</w:t>
      </w:r>
      <w:r w:rsidDel="00000000" w:rsidR="00000000" w:rsidRPr="00000000">
        <w:rPr>
          <w:rFonts w:ascii="Calibri" w:cs="Calibri" w:eastAsia="Calibri" w:hAnsi="Calibri"/>
          <w:b w:val="0"/>
          <w:bCs w:val="0"/>
          <w:i w:val="0"/>
          <w:iCs w:val="0"/>
          <w:color w:val="1a1a1a"/>
          <w:sz w:val="22"/>
          <w:szCs w:val="22"/>
          <w:rtl w:val="0"/>
        </w:rPr>
        <w:t xml:space="preserve"> ENACTIVA admin and a per-company HR admin early on, since conflating them would have caused real design problems once we started modeling permissions. What I would still want to validate before development starts is the exact boundary of the “standardized rubric”: how much freedom a trainer actually has to define indicators without breaking the consistency ENACTIVA wants across courses is, in my view, still underspecified.</w:t>
      </w:r>
      <w:r w:rsidDel="00000000" w:rsidR="00000000" w:rsidRPr="00000000">
        <w:rPr>
          <w:rtl w:val="0"/>
        </w:rPr>
      </w:r>
    </w:p>
    <w:p w:rsidR="00000000" w:rsidDel="00000000" w:rsidP="00000000" w:rsidRDefault="00000000" w:rsidRPr="00000000" w14:paraId="00000041">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Patricio Márquez</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was structuring the problem definition turning what ENACTIVA described across both meetings into a clear situation, difficulty, and impact narrative that the rest of the requirements could be traced back to. I am most confident about anchoring the entire justification of the project on the “knowledge that does not circulate” problem, because every requirement we later defined, from the matching engine to the two dashboards, maps back to solving one part of that same problem. What I would still want to validate before development is how ENACTIVA plans to measure the impact of the pilot beyond the platform's own dashboards, since we have not yet discussed whether they have an external success metric in mind.</w:t>
      </w:r>
      <w:r w:rsidDel="00000000" w:rsidR="00000000" w:rsidRPr="00000000">
        <w:rPr>
          <w:rtl w:val="0"/>
        </w:rPr>
      </w:r>
    </w:p>
    <w:p w:rsidR="00000000" w:rsidDel="00000000" w:rsidP="00000000" w:rsidRDefault="00000000" w:rsidRPr="00000000" w14:paraId="00000043">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Giovanni Ortiz</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was translating the confirmed requirements into the six screen mockups, and more specifically, working through how the graph-theory-based matching would actually appear and behave from a user's perspective. I am most confident about the decision to model matching as a simple, swipe-based interaction rather than a more complex recommendation interface it matches exactly what Karina described in the meeting, and it keeps the first version of the matching engine simple enough to build within the semester. Before moving into development, I would still want to validate how ties or multiple good matches should be displayed, since the mockups currently assume a single best match is shown at a time, and that may not hold once real data is involved.</w:t>
      </w:r>
      <w:r w:rsidDel="00000000" w:rsidR="00000000" w:rsidRPr="00000000">
        <w:rPr>
          <w:rtl w:val="0"/>
        </w:rPr>
      </w:r>
    </w:p>
    <w:p w:rsidR="00000000" w:rsidDel="00000000" w:rsidP="00000000" w:rsidRDefault="00000000" w:rsidRPr="00000000" w14:paraId="00000045">
      <w:pPr>
        <w:pStyle w:val="Heading1"/>
        <w:spacing w:after="180" w:before="340" w:lineRule="auto"/>
        <w:rPr>
          <w:color w:val="000000"/>
        </w:rPr>
      </w:pPr>
      <w:r w:rsidDel="00000000" w:rsidR="00000000" w:rsidRPr="00000000">
        <w:rPr>
          <w:rFonts w:ascii="Calibri" w:cs="Calibri" w:eastAsia="Calibri" w:hAnsi="Calibri"/>
          <w:b w:val="1"/>
          <w:bCs w:val="1"/>
          <w:color w:val="000000"/>
          <w:sz w:val="28"/>
          <w:szCs w:val="28"/>
          <w:rtl w:val="0"/>
        </w:rPr>
        <w:t xml:space="preserve">Reflection</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Calibri" w:cs="Calibri" w:eastAsia="Calibri" w:hAnsi="Calibri"/>
          <w:b w:val="0"/>
          <w:bCs w:val="0"/>
          <w:i w:val="1"/>
          <w:iCs w:val="1"/>
          <w:color w:val="1a1a1a"/>
          <w:sz w:val="22"/>
          <w:szCs w:val="22"/>
          <w:rtl w:val="0"/>
        </w:rPr>
        <w:t xml:space="preserve">Each team member reflects below, in English, on the experience of working with a real client during this phase.</w:t>
      </w:r>
      <w:r w:rsidDel="00000000" w:rsidR="00000000" w:rsidRPr="00000000">
        <w:rPr>
          <w:rtl w:val="0"/>
        </w:rPr>
      </w:r>
    </w:p>
    <w:p w:rsidR="00000000" w:rsidDel="00000000" w:rsidP="00000000" w:rsidRDefault="00000000" w:rsidRPr="00000000" w14:paraId="00000047">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Nicolás Saldivia</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What surprised me most was how much requirements can shift between two meetings with the same client, even when both meetings are well documented. I expected the first meeting to give us a mostly final picture; instead, it gave us a direction that the second meeting then refined and partly reshaped. That taught me a skill I did not expect this phase to demand: staying comfortable presenting a plan while explicitly labeling parts of it as provisional, instead of waiting until everything is certain. Compared to previous academic projects, where requirements were usually handed to us as a finished document, this experience felt much closer to what I imagine professional consulting work looks like  slower to stabilize, but far more honest about what is actually known.</w:t>
      </w:r>
      <w:r w:rsidDel="00000000" w:rsidR="00000000" w:rsidRPr="00000000">
        <w:rPr>
          <w:rtl w:val="0"/>
        </w:rPr>
      </w:r>
    </w:p>
    <w:p w:rsidR="00000000" w:rsidDel="00000000" w:rsidP="00000000" w:rsidRDefault="00000000" w:rsidRPr="00000000" w14:paraId="00000049">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Benjamín Arias</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phase demanded a kind of precision I was not used to: writing requirements that are useful to both a non-technical client and a future developer reading them months from now. Karina would describe an idea in business terms, and my job was to turn that into something specific enough to build without silently adding assumptions she never confirmed. That was harder than I expected, and more than once I caught myself about to write down something that sounded reasonable but was not actually something she had said. Compared to previous coursework, where requirements were usually already “clean”, this phase made me much more aware of the gap between what a client says and what a requirements document ends up saying.</w:t>
      </w:r>
      <w:r w:rsidDel="00000000" w:rsidR="00000000" w:rsidRPr="00000000">
        <w:rPr>
          <w:rtl w:val="0"/>
        </w:rPr>
      </w:r>
    </w:p>
    <w:p w:rsidR="00000000" w:rsidDel="00000000" w:rsidP="00000000" w:rsidRDefault="00000000" w:rsidRPr="00000000" w14:paraId="0000004B">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Patricio Márquez</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I did not expect how much of this phase would be about listening rather than designing. Early on I wanted to jump to solutions, and I had to consciously slow down and make sure we understood the actual problem not the first version of it, but the one that survived two rounds of clarification with the client. That is a skill I associate more with product or business roles than with engineering, and I was surprised how central it turned out to be here. Compared to previous projects, where the problem statement was usually given to us at the start and stayed fixed, this experience made clear how much of real engineering work happens before any code gets written.</w:t>
      </w:r>
      <w:r w:rsidDel="00000000" w:rsidR="00000000" w:rsidRPr="00000000">
        <w:rPr>
          <w:rtl w:val="0"/>
        </w:rPr>
      </w:r>
    </w:p>
    <w:p w:rsidR="00000000" w:rsidDel="00000000" w:rsidP="00000000" w:rsidRDefault="00000000" w:rsidRPr="00000000" w14:paraId="0000004D">
      <w:pPr>
        <w:pStyle w:val="Heading3"/>
        <w:spacing w:after="110" w:before="180" w:lineRule="auto"/>
        <w:rPr/>
      </w:pPr>
      <w:r w:rsidDel="00000000" w:rsidR="00000000" w:rsidRPr="00000000">
        <w:rPr>
          <w:rFonts w:ascii="Calibri" w:cs="Calibri" w:eastAsia="Calibri" w:hAnsi="Calibri"/>
          <w:b w:val="1"/>
          <w:bCs w:val="1"/>
          <w:i w:val="1"/>
          <w:iCs w:val="1"/>
          <w:color w:val="1a1a1a"/>
          <w:sz w:val="23"/>
          <w:szCs w:val="23"/>
          <w:rtl w:val="0"/>
        </w:rPr>
        <w:t xml:space="preserve">Giovanni Ortiz</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What surprised me most was how much a single design decision  like presenting matching as a swipe instead of a filtered list  can carry the weight of an entire technical concept, in this case graph theory, without ever showing the client a graph. It forced me to think about interface design and the underlying data model at the same time, rather than treating them as separate steps. That connection between UX and architecture is a skill I had not really practiced before this phase. Compared to previous academic projects, where the interface was usually the last thing to consider, here it became one of the first things we had to get right, since it was how we validated whether the client's abstract idea of “matching people” actually made sense as a product.</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pPr>
    <w:r w:rsidDel="00000000" w:rsidR="00000000" w:rsidRPr="00000000">
      <w:rPr>
        <w:rFonts w:ascii="Calibri" w:cs="Calibri" w:eastAsia="Calibri" w:hAnsi="Calibri"/>
        <w:color w:val="888888"/>
        <w:sz w:val="16"/>
        <w:szCs w:val="16"/>
        <w:rtl w:val="0"/>
      </w:rPr>
      <w:t xml:space="preserve">Entrega Formativa — Definición Proyecto APT — ENACTIVA SpA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z5e5VbWVHFiLKcoSKNWAWfV3w==">CgMxLjA4AHIhMUNGOHUzekd0a3VhejkzS0FGSEV5OFhFbTRPY1pqUlhV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2026-09-23T13:27:42.446Z</dcterms:created>
  <dc:creator>Un-named</dc:creator>
</cp:coreProperties>
</file>

<file path=docProps/custom.xml><?xml version="1.0" encoding="utf-8"?>
<Properties xmlns="http://schemas.openxmlformats.org/officeDocument/2006/custom-properties" xmlns:vt="http://schemas.openxmlformats.org/officeDocument/2006/docPropsVTypes"/>
</file>