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Integrante: Giovanni Ortiz (Product Owner) · Grupo ENACTIVA, Capstone PTY4614 · 20-10-2026</w:t>
      </w: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Sí, en lo esencial. Siguiendo nuestro plan de trabajo y nuestro plan de sprints, completamos el MVP 0: hay Slices 0 a 5 mergeados en el repositorio (base segura, empresas, activación de cuentas, colaboradores con carga CSV, catálogo de temas con perfil corporativo, y talleres con inscripciones y disponibilidad). Además migramos la arquitectura de monolito a microservicios en tres fases (PR #16, #18 y #19). Ninguna actividad de la Carta Gantt está atrasada respecto a ese plan: el matching (Slice 6) es el siguiente sprint, y la rúbrica quedó eliminada del alcance por decisión de la clienta el 13-10.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Qué nos facilitó.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Las respuestas de Karina (nueve preguntas el 13-10), el alcance acotado, registrar las decisiones en ADR, el plan por slices con criterios de aceptación y las pruebas automatizadas, que pasaron de 132 a 274.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Qué nos dificultó.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Los cambios de alcance del 29-09 y del 13-10, que nos obligaron a reordenar el plan; nuestros tiempos y la coordinación entre cuatro personas; un error al apilar Pull Requests que dejó trabajo fuera de main; un bug de sesión al recargar la página; y la CI en rojo desde el 13-10.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Cambios de alcance.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Los absorbimos con fases cortas y dejando cada decisión por escrito (ADR-0008 a ADR-0010). Nos consultamos entre los cuatro antes de decidir y las dudas puntuales a Karina las consultamos por WhatsApp, a través de Benjamín.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Pull Requests apilados.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Lo reconocimos en el PR #24 y desde entonces trabajamos una rama por vez contra main.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Bug de sesión.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Lo detectamos al verificar el Slice 5 en el navegador y lo corregimos.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Tiempos y coordinación.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Repartimos el trabajo según los roles de Scrum y dejamos registro de cada reunión en un grupo de Teams.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CI en rojo.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Todavía no la hemos revisado. Los tests de learning-service fallan porque las tablas inscripcion y disponibilidad no existen en la base de datos de la CI, así que vamos a revisar que el pipeline aplique las migraciones antes de ejecutar los tests.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Qué destacamos.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Como Product Owner pude traducir lo que Karina fue diciendo en decisiones claras: la reunión del 29-09 y sus respuestas del 13-10 quedaron en ADR y en el plan, y eliminar el modelo de evaluación simplificó la mitad del trabajo pendiente.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Qué podemos mejorar.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Preparar preguntas más concretas antes de cada reunión con Karina, para anticipar los cambios de alcance en vez de reaccionar a ellos, y sumar la revisión cruzada de Pull Requests: hoy nuestro resguardo de calidad son los tests automáticos y la verificación manual en el navegador.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Inquietudes.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Cómo priorizar con Karina el matching, la agenda y la gamificación sin perder el foco de "conectar y convocar", y cómo dejar documentado que la rúbrica se eliminó por decisión de la clienta.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Preguntas.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A la docente: ¿pesa más el sistema funcionando o la documentación de las decisiones? A los pares: ¿cómo dejan evidencia de sus decisiones de alcance?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No consideramos necesario redistribuir las actividades que ya están en marcha. Siguen según los roles de Scrum (Giovanni Ortiz, Product Owner; Nicolás Saldivia, Scrum Master; Patricio Márquez y Benjamín Arias, Development Team) y, en la práctica, la mayoría de las tareas las hemos hecho entre todos.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Actividades nuevas.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Revisar y corregir la CI, el matching (Slice 6), agenda y recordatorios por correo (Slice 7), la gamificación (Slice 8) y el despliegue público con exportación y supresión de datos (M4). Las asignaremos en el planning de cada sprint según disponibilidad. También vamos a incorporar la revisión cruzada de Pull Requests entre los cuatro.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kalhhmq0bvia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Aspectos positivos.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Nos consultamos para tomar las decisiones y así llegamos a mejores opciones; por ejemplo, dejar auth-service sin base de datos propia para no partir el modelo de usuario. Los roles de Scrum nos ordenaron y mantenemos registro de cada reunión en un grupo de Teams.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Aspectos a mejorar.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Los tiempos y la coordinación entre cuatro personas con agendas distintas, repartir de forma más pareja la carga técnica y la revisión del código, y dejar acta escrita de las retrospectivas.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8">
          <w:pPr>
            <w:rPr>
              <w:rFonts w:ascii="Century Gothic" w:cs="Century Gothic" w:eastAsia="Century Gothic" w:hAnsi="Century Gothic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9">
          <w:pPr>
            <w:rPr>
              <w:rFonts w:ascii="Century Gothic" w:cs="Century Gothic" w:eastAsia="Century Gothic" w:hAnsi="Century Gothic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IZ8EGZNulp+f7rtSy8aupyLgJw==">CgMxLjAyDmgua2FsaGhtcTBidmlhOAByITF3TFpvY1d3MldGaGlnb0JrenFiVEtUQ2U5cXlfVUpQUw==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