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n9i63rpj9qn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76337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76337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76337"/>
                <wp:effectExtent b="0" l="0" r="0" t="0"/>
                <wp:wrapNone/>
                <wp:docPr id="2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763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525"/>
        <w:gridCol w:w="6120"/>
        <w:tblGridChange w:id="0">
          <w:tblGrid>
            <w:gridCol w:w="3525"/>
            <w:gridCol w:w="61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Al 20-10-2026 pasamos de la definición de la Fase 1 a un sistema funcionando en el repositorio del proyecto (github.com/Bendzha/enactiva-plataforma), con Pull Requests mergeados hasta el #25 y 274 pruebas automatizadas (eran 132 en el Slice 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Actividades realizadas. </w:t>
            </w: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(1) Base segura (login con JWT, roles, auditoría y CI), empresas de punta a punta, activación de cuentas por invitación y colaboradores con carga masiva por CSV (Slices 0 a 3, hasta el 21-09). (2) Migración de monolito a microservicios en tres fases (PR #16, #18 y #19, entre el 28 y el 29-09), con un gateway como única puerta de entrada. (3) Actualización del alcance con la clienta, a partir de la reunión del 29-09 y de sus respuestas del 13-10. (4) Catálogo de temas y perfil corporativo (Slice 4, PR #21). (5) Métricas de intereses declarados, solo con datos agregados (PR #22). (6) Talleres convocados, con cupo, inscripciones y disponibilidad del facilitador (Slice 5, PR #25).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Objetivos cumplidos y cómo. </w:t>
            </w: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Definimos una arquitectura y un stack justificados (microservicios), construimos el catálogo de temas y el perfil corporativo, habilitamos la convocatoria de talleres presenciales y validamos con la clienta, lo que seguimos haciendo en cada reunión. Lo logramos con pruebas automatizadas de cada slice (incluidas pruebas de aislamiento entre empresas), verificación manual en el navegador y demostraciones: el 29-09 la clienta vio el inicio de sesión global con derivación por perfil, el flujo de invitación y activación, la carga masiva y el panel de administración.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Pendiente. </w:t>
            </w: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El matching (Slice 6), agenda y recordatorios (Slice 7), la gamificación (Slice 8) y el despliegue público con exportación y supresión de datos (M4).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Objetivo general (ajustado). </w:t>
            </w: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Diseñar y desarrollar un producto mínimo viable de una plataforma web que conecte, dentro de una misma empresa, a quienes quieren enseñar con quienes quieren aprender, que permita convocar talleres presenciales y que entregue a RRHH métricas agregadas de intereses para decidir dónde traer formación externa.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Objetivos específicos vigentes: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Diseñar el matching entre personas de la misma empresa, con puntaje de afinidad simple y sin inteligencia artificial. Estado: pendiente (Slice 6).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Definir una arquitectura y un stack justificados. Estado: cumplido (microservicios, ADR-0007).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Construir el catálogo de temas y el perfil corporativo con el mínimo de datos personales. Estado: cumplido (Slice 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Habilitar la convocatoria de talleres presenciales: ficha, cupo, inscripciones y disponibilidad del facilitador. Estado: cumplido (Slice 5); agenda y recordatorios pendientes.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Validar iterativamente con la clienta, manteniendo trazabilidad entre lo confirmado y lo propuesto. Estado: en curso (acta del 29-09 y ADR-0008 a ADR-0010).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Ajustes. </w:t>
            </w: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Se elimina el objetivo "Modelar la estructura de curso estandarizada (diagnóstico, clase, monitoreo) y su rúbrica de evaluación" (ADR-0010, 13-10). El objetivo de traducir requerimientos en mockups quedó cumplido en la Fase 1 y fue superado por la construcción directa de la interfaz. Se agregan los objetivos de perfil y de talleres, y el objetivo general se reformula porque la estructura de medición salió del alcance.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Se mantiene Scrum, formalizado en la Fase 2 (antes lo describíamos como metodología ágil con vertical slices). Roles: Giovanni Ortiz, Product Owner; Nicolás Saldivia, Scrum Master; Patricio Márquez y Benjamín Arias, Development Team.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Sprints de 2 semanas sobre las 18 del semestre, con planning, seguimiento del avance, review con la clienta y retrospectiva. El backlog es el plan por slices con criterios de aceptación; cada slice se construye de punta a punta y entra a main por un Pull Request con CI. Las decisiones importantes quedan registradas en ADR. El desarrollo se asiste con Claude Code, siguiendo el flujo Explorar, Planificar, Implementar y Confirmar.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Ajuste. </w:t>
            </w: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El plan de sprints se actualizó con el cambio de alcance (se retira el sprint de rúbrica y mediciones y se agregan agenda, recordatorios y gamificación) y adoptamos trabajar una rama por vez contra 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Presentamos estas evidencias de avance y lo que demuestra cada una: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Repositorio y Pull Requests hasta el #25: muestran qué se construyó, en qué orden y con qué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Migración a microservicios (PR #16, #18 y #19; ADR-0007): demuestra la arquitectura implementada.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Slices 4 y 5 y métricas (PR #21, #22 y #25): demuestran funcionalidad nueva alineada con el alcance de la clienta.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ADR-0001 a ADR-0010 y actas (29-09 y respuestas del 13-10): hacen trazables las decisiones y los cambios de alcance.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Pruebas automatizadas y CI: de 132 a 274 pruebas. La CI está en rojo desde el 13-10; la informamos como dificultad abierta.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Fotografías de reuniones con la clienta y con el equipo, y registro de cada reunión en un grupo de Teams.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before="0" w:lineRule="auto"/>
              <w:rPr>
                <w:i w:val="1"/>
                <w:iCs w:val="1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Calidad. </w:t>
            </w: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Resguardamos la calidad con pruebas automatizadas de cada slice (incluidas las de aislamiento entre empresas), CI con lint, tipos, tests y build en cada Pull Request, verificación manual del equipo en el navegador, decisiones registradas en ADR y demostraciones a la clienta. Aún no hacemos revisión cruzada de Pull Requests; es una mejora que incorporaremos.</w:t>
            </w:r>
            <w:r w:rsidDel="00000000" w:rsidR="00000000" w:rsidRPr="00000000">
              <w:rPr>
                <w:i w:val="1"/>
                <w:iCs w:val="1"/>
                <w:color w:val="1a1a1a"/>
                <w:sz w:val="21"/>
                <w:szCs w:val="21"/>
                <w:rtl w:val="0"/>
              </w:rPr>
              <w:br w:type="textWrapping"/>
            </w:r>
            <w:hyperlink r:id="rId8">
              <w:r w:rsidDel="00000000" w:rsidR="00000000" w:rsidRPr="00000000">
                <w:rPr>
                  <w:i w:val="1"/>
                  <w:iCs w:val="1"/>
                  <w:color w:val="0000ee"/>
                  <w:sz w:val="21"/>
                  <w:szCs w:val="21"/>
                  <w:u w:val="single"/>
                  <w:rtl w:val="0"/>
                </w:rPr>
                <w:t xml:space="preserve">ACTA REUNIÓN - CAPSTONE DUOC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before="0" w:lineRule="auto"/>
              <w:rPr>
                <w:i w:val="1"/>
                <w:iCs w:val="1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1a1a1a"/>
                <w:sz w:val="21"/>
                <w:szCs w:val="21"/>
              </w:rPr>
              <w:drawing>
                <wp:inline distB="114300" distT="114300" distL="114300" distR="114300">
                  <wp:extent cx="3752850" cy="2108200"/>
                  <wp:effectExtent b="0" l="0" r="0" t="0"/>
                  <wp:docPr id="3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60" w:line="240" w:lineRule="auto"/>
              <w:ind w:left="500" w:hanging="260"/>
              <w:rPr/>
            </w:pPr>
            <w:r w:rsidDel="00000000" w:rsidR="00000000" w:rsidRPr="00000000">
              <w:rPr>
                <w:color w:val="1a1a1a"/>
              </w:rPr>
              <w:drawing>
                <wp:inline distB="114300" distT="114300" distL="114300" distR="114300">
                  <wp:extent cx="3752850" cy="5003800"/>
                  <wp:effectExtent b="0" l="0" r="0" t="0"/>
                  <wp:docPr id="2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500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0" w:before="0" w:lineRule="auto"/>
              <w:rPr>
                <w:i w:val="1"/>
                <w:iCs w:val="1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80" w:before="0" w:lineRule="auto"/>
              <w:rPr>
                <w:i w:val="1"/>
                <w:iCs w:val="1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80" w:before="0" w:lineRule="auto"/>
              <w:rPr>
                <w:i w:val="1"/>
                <w:iCs w:val="1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1a1a1a"/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color w:val="1a1a1a"/>
                <w:sz w:val="21"/>
                <w:szCs w:val="21"/>
              </w:rPr>
              <w:drawing>
                <wp:inline distB="114300" distT="114300" distL="114300" distR="114300">
                  <wp:extent cx="3000375" cy="6886575"/>
                  <wp:effectExtent b="0" l="0" r="0" t="0"/>
                  <wp:docPr id="3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6886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1a1a1a"/>
                <w:sz w:val="21"/>
                <w:szCs w:val="21"/>
              </w:rPr>
              <w:drawing>
                <wp:inline distB="114300" distT="114300" distL="114300" distR="114300">
                  <wp:extent cx="3752850" cy="1828800"/>
                  <wp:effectExtent b="0" l="0" r="0" t="0"/>
                  <wp:docPr id="34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60" w:line="240" w:lineRule="auto"/>
              <w:ind w:left="500" w:hanging="260"/>
            </w:pPr>
            <w:r w:rsidDel="00000000" w:rsidR="00000000" w:rsidRPr="00000000">
              <w:rPr>
                <w:color w:val="1a1a1a"/>
              </w:rPr>
              <w:drawing>
                <wp:inline distB="114300" distT="114300" distL="114300" distR="114300">
                  <wp:extent cx="3752850" cy="5638800"/>
                  <wp:effectExtent b="0" l="0" r="0" t="0"/>
                  <wp:docPr id="3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563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1a1a1a"/>
              </w:rPr>
              <w:drawing>
                <wp:inline distB="114300" distT="114300" distL="114300" distR="114300">
                  <wp:extent cx="3752850" cy="5461000"/>
                  <wp:effectExtent b="0" l="0" r="0" t="0"/>
                  <wp:docPr id="3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546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145.0" w:type="dxa"/>
        <w:jc w:val="left"/>
        <w:tblInd w:w="-12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25"/>
        <w:gridCol w:w="1380"/>
        <w:gridCol w:w="1095"/>
        <w:gridCol w:w="1080"/>
        <w:gridCol w:w="1380"/>
        <w:gridCol w:w="1500"/>
        <w:gridCol w:w="945"/>
        <w:gridCol w:w="2040"/>
        <w:tblGridChange w:id="0">
          <w:tblGrid>
            <w:gridCol w:w="1725"/>
            <w:gridCol w:w="1380"/>
            <w:gridCol w:w="1095"/>
            <w:gridCol w:w="1080"/>
            <w:gridCol w:w="1380"/>
            <w:gridCol w:w="1500"/>
            <w:gridCol w:w="945"/>
            <w:gridCol w:w="204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Levantamiento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Videollamada, actas de reunión, especificación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Semanas 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Todo el equipo (PO: Giovanni Ortiz)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Facilitador: disposición de la clienta. Dificultad: el alcance cambió el 29-09 y el 13-10.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Alcance redefinido: sin Moodle ni contenidos (29-09) y sin modelo de evaluación (13-10, ADR-0010). La planilla de requerimientos quedó obsoleta; la fuente vigente es la especificación del repositorio.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Construcción de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Diseño de arquitectura y esquema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Documentos de arquitectura y ADR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Semanas 2-3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Todo el equipo (Dev Team: Patricio Márquez, Benjamín Arias)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Dificultad inicial: incertidumbre del modelo de la rúbrica; se resolvió al eliminarla del alcance.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Migración de monolito a microservicios (ADR-0007; PR #16, #18 y #19). Tres bases de datos (identity_db, learning_db, matching_db); auth-service no tiene base propia.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Diseño de mockups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Herramienta de mockups, HTML/CSS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Semanas 3-4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Giovanni Ortiz (PO)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Facilitador: requerimientos confirmados con la clienta en ese momento.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Los mockups de la Fase 1 modelaban cursos con contenido y quedaron superados por el cambio de alcance. La interfaz se define y verifica directamente en el frontend, slice por slice.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Construcción del MVP 0 (vertical slice mínimo)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Entorno de desarrollo, repositorio Git,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Semanas 5-8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Todo el equipo (Dev Team, PO y SM)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Dificultad: coordinación de tiempos del equipo para decisiones conjuntas.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Se superó el alcance de MVP 0: Slices 0 a 5 mergeados (base segura, empresas, activación de cuentas, colaboradores con carga CSV, catálogo de temas y perfil, talleres con inscripciones).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Construcción del motor de matching y rúbrica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Entorno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Semanas 9-12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Todo el equipo (Dev Team, PO y SM)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El matching sigue siendo la pieza de mayor riesgo técnico.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La rúbrica y las mediciones se eliminaron del alcance (ADR-0010). El matching (Slice 6) pasó al Sprint 6, porque necesita los perfiles y temas ya construidos (Slice 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Dashboards, endurecimiento y demo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Entorno de despliegue (por definir), correo de producción (por definir)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Semanas 13-18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Todo el equipo (Dev Team, PO y SM)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Cierre del semestre. Pendientes: despliegue público y proveedor de correo.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Ya existen las métricas de intereses declarados para RRHH y el Admin Principal, solo con datos agregados (PR #22). Se suman agenda y recordatorios (Slice 7) y gamificación (Slice 8).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Facilitadores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Las respuestas de la clienta: el 13-10 respondió nueve preguntas abiertas y acotó el alcance.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El registro de decisiones en ADR y el plan por slices con criterios de aceptación.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Las pruebas automatizadas y la CI, que detectaron problemas temprano (de 132 a 274 pruebas).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Un stack común en TypeScript y el desarrollo asistido con Claude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Dificultades y acciones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Cambios de alcance (29-09 y 13-10): los absorbimos por fases cortas y dejando cada decisión en un ADR; consultamos entre los cuatro y con la clienta antes de decidir.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Costo de la migración a microservicios: la hicimos en tres fases, cada una dejando el sistema funcionando.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Pull Requests apilados que no llegaron a main: lo reconocimos en el PR #24, los recuperamos y ahora trabajamos una rama por vez.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Bug de sesión al recargar la página: lo detectamos al verificar el Slice 5 en el navegador y lo corregimos.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CI en rojo desde el 13-10: aún no la revisamos; revisaremos que el pipeline aplique las migraciones de learning_db antes de ejecutar los tests.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Tiempos y coordinación del equipo: repartimos el trabajo según los roles de Scrum, dejamos registro de cada reunión en un grupo de Teams y decidimos juntos en cada planning.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Actividades ajustadas o eliminadas: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Ajustadas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Levantamiento de requerimientos, diseño de arquitectura y esquema de datos, diseño de mockups y motor de matching (ver tabla del plan de trabajo).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Eliminadas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Etapas Diagnóstico, Clase y Monitoreo, rúbrica, mediciones en tres momentos y tests (ADR-0010).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Subida de archivos de contenido y cuota de 2 GB por empresa (ADR-0006, reemplazado por ADR-0008).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Nuevas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Métricas de intereses (hecha), agenda y recordatorios (Slice 7), gamificación (Slice 8) y revisión de la CI.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Justificación. </w:t>
            </w: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Los ajustes responden a la reunión del 29-09 (sin Moodle, ficha de taller) y a las respuestas del 13-10, donde la clienta decidió que el producto solo conecta y convoca. El cambio a microservicios responde a la proyección de escalabilidad decidida por 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No iniciadas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Matching (Slice 6), agenda y recordatorios por correo (Slice 7) y gamificación con estrellas, referencias y tokens (Slice 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Fase M4: despliegue público, CI/CD por servicio, y exportación y supresión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Retrasadas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80" w:before="0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• Ninguna respecto al plan de sprints: los Sprints 4 y 5 (catálogo de temas y fichas de taller) ya están completos y el matching corresponde al Sprint 6. La corrección de la CI es una actividad nueva que no estaba en el 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Motivos y estrategia. </w:t>
            </w:r>
            <w:r w:rsidDel="00000000" w:rsidR="00000000" w:rsidRPr="00000000">
              <w:rPr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Las actividades pendientes siguen el orden de los sprints y dependen de lo ya construido (el matching necesita los perfiles y los temas). Vamos a corregir primero la CI, avanzar un slice a la vez de punta a punta, validar cada avance con la clienta y gestionar a tiempo lo que depende de ella: el texto de los términos legales, el despliegue y el proveedor de correo.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9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50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hyperlink" Target="https://docs.google.com/document/d/1JGgm77JTX1zAyqEkx-aOGHZPR4BtkQHrcdhb2J1zo-k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pVlUerHVb+9PLZkFPXBoi0z99A==">CgMxLjAyDmgubjlpNjNycGo5cW5uOAByITFXQU8xREFUbW9tRlQzX3pqNzhYUUJOejFDQmFIWUw0Mg==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