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Alumno Libre: David Fabrizio Macías.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Evaluación a desarrollar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ind w:left="7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ind w:left="720" w:firstLine="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Configuración de ocho subredes IPv4, a partir de la Red 128.80.0.0. Determinar las direcciones de las subredes, sus respectivas direcciones de difusión, y las máscaras de las subredes.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ind w:left="0" w:firstLine="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Configuración de cuatro subredes IPv6, a partir de la Red 3A3A:FF45: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ABA5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:: Determinar direcciones IPv6 de subred, última dirección de Hosts de cada subred, y máscara de subred.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hanging="360"/>
        <w:jc w:val="both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Determinar la tabla de enrutamiento de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Router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“4”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l siguiente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Sistema Autónomo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. Están fijadas las direcciones IPv4 de las dos interfaces de cada router.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firstLine="0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</w:rPr>
        <w:drawing>
          <wp:inline distB="114300" distT="114300" distL="114300" distR="114300">
            <wp:extent cx="4133850" cy="27622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before="240" w:line="276" w:lineRule="auto"/>
        <w:ind w:firstLine="70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Router 3</w:t>
      </w:r>
    </w:p>
    <w:p w:rsidR="00000000" w:rsidDel="00000000" w:rsidP="00000000" w:rsidRDefault="00000000" w:rsidRPr="00000000" w14:paraId="0000000D">
      <w:pPr>
        <w:shd w:fill="ffffff" w:val="clear"/>
        <w:spacing w:after="0" w:before="240" w:line="276" w:lineRule="auto"/>
        <w:ind w:firstLine="70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Red             </w:t>
        <w:tab/>
        <w:t xml:space="preserve">SteSalto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lineRule="auto"/>
        <w:ind w:left="720" w:hanging="360"/>
        <w:rPr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Explicar los servicios que presta el protocolo TCP, (Protocolo de Control de Transporte), y los siguientes campos de su cabecera.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</w:rPr>
        <w:drawing>
          <wp:inline distB="0" distT="0" distL="0" distR="0">
            <wp:extent cx="5010849" cy="1571844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571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Puerto TCP origen: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Puerto TCP destino: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Número de secuencia: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Número de acuse de recibo: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Ventana: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D25938"/>
    <w:pPr>
      <w:ind w:left="720"/>
      <w:contextualSpacing w:val="1"/>
    </w:p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F426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7F4265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aAzfpuaaIqEfdGAZeAYRQaJL7A==">AMUW2mU5ZOykGACIUpiQr8pA7V9cVQ3CzFAaMp27Z6SG8saAZfNzCJXX4tyv9hEzq/+EetfbnB2rqPH8WS07k97W4QAradqyNs1E1xMCh5wkXWkdEKD+IOUSk1LGcprs+fNXxrR8HN1c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2020-09-15T00:16:00Z</dcterms:created>
  <dc:creator>gustavo rudisi</dc:creator>
</cp:coreProperties>
</file>