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Calculer une tournée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Précondition </w:t>
      </w:r>
      <w:r w:rsidDel="00000000" w:rsidR="00000000" w:rsidRPr="00000000">
        <w:rPr>
          <w:rtl w:val="0"/>
        </w:rPr>
        <w:t xml:space="preserve">: L’utilisateur a chargé un plan de la ville et un plan de livraison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Scénario Principal </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L’utilisateur appuie sur le bouton dédié à la procédure de calcul d’une tournée de livraison.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Le système calcul la tournée de livraison via une procédure de calcul puis affiche l’itinéraire de livraison dans le plan et la liste des livraisons (adresse, plage horaire début, plage horaire fin, durée) dans le tableau se trouvant à gauche du plan.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Scénario Alternatif </w:t>
      </w: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t xml:space="preserve">2a Il n’existe pas de tournée respectant les contraintes liées aux plages horaires. </w:t>
      </w:r>
    </w:p>
    <w:p w:rsidR="00000000" w:rsidDel="00000000" w:rsidP="00000000" w:rsidRDefault="00000000" w:rsidRPr="00000000">
      <w:pPr>
        <w:ind w:left="720" w:firstLine="720"/>
        <w:contextualSpacing w:val="0"/>
        <w:jc w:val="both"/>
      </w:pPr>
      <w:r w:rsidDel="00000000" w:rsidR="00000000" w:rsidRPr="00000000">
        <w:rPr>
          <w:rtl w:val="0"/>
        </w:rPr>
        <w:t xml:space="preserve">Le système ne prend pas en compte le calcul de la tournée et le signale à l’utilisateur via un message dans l’interface. Le système retourne à la page principale avec le plan et la liste des livraisons.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1-2a L’utilisateur indique au système qu’il souhaite annuler le calcul de la tournée.</w:t>
      </w:r>
    </w:p>
    <w:p w:rsidR="00000000" w:rsidDel="00000000" w:rsidP="00000000" w:rsidRDefault="00000000" w:rsidRPr="00000000">
      <w:pPr>
        <w:ind w:left="720" w:firstLine="720"/>
        <w:contextualSpacing w:val="0"/>
        <w:jc w:val="both"/>
      </w:pPr>
      <w:r w:rsidDel="00000000" w:rsidR="00000000" w:rsidRPr="00000000">
        <w:rPr>
          <w:rtl w:val="0"/>
        </w:rPr>
        <w:t xml:space="preserve">Le système annule le calcul de tournée en cours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