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Changer une plage horaire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(non)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demande à l’utilisateur de sélectionner le point de livraison dont il souhaite modifier la plage horaire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défini la nouvelle plage horaire du point de livraison sélectionné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modifie la plage horaire du point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calcule une nouvelle tournée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confirme le choix de la nouvelle tournée calculée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2a. L’utilisateur définit une plage horaire qui n’est pas dans le “système horaire”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à l’utilisateur que la plage horaire n’est pas bonne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2b. L'utilisateur définit une plage horaire d’heure de début qui se trouve avant la plage horaire d’heure de fin (ou inversement)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à l’utilisateur que la plage horaire n’est pas bonne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4a. La nouvelle tournée calculée ne respecte pas les contraintes de l’une tournée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que la nouvelle tournée calculée ne respecte les contraintes horaires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5a: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1-5a: L’utilisateur indique au système qu’il souhaite annuler la modification de la plage horaire d’un point de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la modification de la plage horaire d’un point de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