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servidor hoy dado de baja, y las mediciones corrieron sobre una instancia local.</w:t>
      </w:r>
    </w:p>
    <w:p w14:paraId="475EA899" w14:textId="77777777" w:rsidR="00FC5B64" w:rsidRDefault="00F85013">
      <w:pPr>
        <w:spacing w:before="240" w:after="240" w:line="240" w:lineRule="auto"/>
        <w:rPr>
          <w:rFonts w:ascii="Arial" w:eastAsia="Arial" w:hAnsi="Arial" w:cs="Arial"/>
        </w:rPr>
      </w:pPr>
      <w:r>
        <w:rPr>
          <w:rFonts w:ascii="Arial" w:hAnsi="Arial"/>
        </w:rPr>
        <w:t>Las catorce Historias de Usuario se implementaron, con tres umbrales sin verificar y uno incumplido. En un experimento intra-sujeto con ocho consultoras (32 publicaciones), el tiempo operativo se redujo un 76,7 % (IC 95 % [73,5 %; 79,9 %]), por encima del umbral del 70 % (t(7) = 4,90; p &lt; 0,001), con el tiempo de Postly conciliado con el historial del sistema. El Módulo Centinela alcanzó un F1 de 0,85 sobre 40 casos controlados y de 0,923 sobre 29 piezas reales. La aceptación (TAM) promedió 4,43 sobre 5, y evaluadores externos a ciegas prefirieron los copys de Postly.</w:t>
      </w:r>
    </w:p>
    <w:p w14:paraId="1576E0E2" w14:textId="77777777" w:rsidR="007F0EF5" w:rsidRDefault="001E7637">
      <w:pPr>
        <w:spacing w:before="240" w:after="240" w:line="240" w:lineRule="auto"/>
      </w:pPr>
      <w:r>
        <w:rPr>
          <w:rFonts w:ascii="Arial" w:hAnsi="Arial"/>
        </w:rPr>
        <w:t>El módulo no detecta la solicitud de compra sin cifra, que las pautas también restringen. Ese límite y la muestra intencional acotan los resultados a evidencia de viabilidad.</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en Instagram y Facebook, y programada para la imagen y el carrusel,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entre el 23 y el 25 de septiembre de 2026 una revisión bibliográfica más amplia, sin su restricción a 2024 y 2025. Consultó Crossref dentro de veinte revistas arbitradas de ingeniería de software, sistemas de información, interacción humano-computadora, marketing y computación, sobre ocho ejes temáticos del vacío que este trabajo declara, y reunió 596 candidatos. Las actas de congreso quedaron fuera de ese recorte. El tamizado por título y resumen descartó 462, con el motivo registrado. La lectura del resumen de los 134 restantes dejó 85 para incluir, 47 descartados y 2 sin resolver por falta de un resumen confiable. El protocolo de esa revisión exige leer cada una de sus obras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pPr/>
      <w:r>
        <w:rPr>
          <w:rFonts w:ascii="Arial" w:hAnsi="Arial"/>
          <w:b w:val="0"/>
        </w:rPr>
        <w:t>Ese requisito rige para las obras de la revisión amplia y no para el resto de la bibliografía. De las 29 obras de 2024 a 2026 que este trabajo cita, seis tienen lectura completa registrada: Das et al. (2026), Wang et al. (2026), Warner et al. (2025), Barrientos et al. (2026), Cimino et al. (2026) y Rezazadeh et al. (2025). Las otras 23 se citan a partir del resumen y de los apartados consultados, sin lectura completa registrada.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lastRenderedPageBreak/>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y encuentran un desempeño competitivo con el etiquetado humano en las categorías bien definidas.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Sus asistentes de IA, basados sobre todo en la API de OpenAI, son en su mayoría textuales y genéricos: no ven la fotografía del producto ni ordenan un carrusel. La excepción es Later, que la Tabla 1 marca «Parcial» en esa columna, con las limitaciones que define la nota de la tabla.</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funcional de las herramientas relevadas indica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Parcial</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juzga por atributos de calidad (Bass et al., 2012). Para Postly pesan dos: la escalabilidad, para sumar módulos o redes, y la disponibilidad, para que la caída de un servicio externo no arrastre al resto.</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HU12 fija 15 s para otra operación, la regeneración de copys, que tarda 31,2 s (Tabla 13).</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Corporativo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Corporativa</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el rechazo de las peticiones es probable y no se probó; el bloqueo de la cuenta, conjeturado</w:t>
            </w:r>
          </w:p>
        </w:tc>
        <w:tc>
          <w:tcPr>
            <w:tcW w:w="2126" w:type="dxa"/>
          </w:tcPr>
          <w:p w14:paraId="71DE45FF" w14:textId="77777777" w:rsidR="00F91B8C" w:rsidRPr="00003BC6" w:rsidRDefault="00F85013">
            <w:pPr>
              <w:rPr>
                <w:lang w:val="es-ES"/>
              </w:rPr>
            </w:pPr>
            <w:r w:rsidRPr="00003BC6">
              <w:rPr>
                <w:sz w:val="18"/>
                <w:lang w:val="es-ES"/>
              </w:rPr>
              <w:t>No evaluado (§3.3.3)</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6109916B" w14:textId="77777777" w:rsidR="0078296D" w:rsidRDefault="001E7637">
      <w:pPr>
        <w:spacing w:after="240" w:line="276" w:lineRule="auto"/>
      </w:pPr>
      <w:r>
        <w:rPr>
          <w:rFonts w:ascii="Arial" w:eastAsia="Arial" w:hAnsi="Arial" w:cs="Arial"/>
        </w:rP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r>
        <w:rPr>
          <w:rFonts w:ascii="Arial" w:eastAsia="Arial" w:hAnsi="Arial" w:cs="Arial"/>
          <w:i/>
          <w:iCs/>
        </w:rPr>
      </w:r>
      <w:r>
        <w:rPr>
          <w:rFonts w:ascii="Arial" w:eastAsia="Arial" w:hAnsi="Arial" w:cs="Arial"/>
        </w:rPr>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25, 20 y 9) y el corpus de campo (29), y el de la (c), las ocho participantes de la ampliación.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pPr/>
      <w:r>
        <w:rPr>
          <w:b w:val="0"/>
        </w:rP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(§6.1.6). Umbral, contraste y tramo se fijaron en el protocolo de la ampliación antes de la primera sesión (Anexo E.4).</w:t>
      </w:r>
    </w:p>
    <w:p w14:paraId="2CFF2E3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49D2B41"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(Figura 5)—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 de la marca</w:t>
      </w:r>
      <w:r>
        <w:rPr>
          <w:rFonts w:ascii="Arial" w:eastAsia="Arial" w:hAnsi="Arial" w:cs="Arial"/>
        </w:rP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w:t>
      </w:r>
      <w:r>
        <w:rPr>
          <w:rFonts w:ascii="Arial" w:hAnsi="Arial"/>
        </w:rPr>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sin pasos adicionales para la consultora.</w:t>
      </w:r>
      <w:r>
        <w:rPr>
          <w:rFonts w:ascii="Arial" w:eastAsia="Arial" w:hAnsi="Arial" w:cs="Arial"/>
          <w:i/>
          <w:iCs/>
        </w:rPr>
      </w:r>
      <w:r>
        <w:rPr>
          <w:rFonts w:ascii="Arial" w:eastAsia="Arial" w:hAnsi="Arial" w:cs="Arial"/>
        </w:rPr>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Centinela</w:t>
      </w:r>
      <w:r>
        <w:rPr>
          <w:rFonts w:ascii="Arial" w:eastAsia="Arial" w:hAnsi="Arial" w:cs="Arial"/>
          <w:i/>
          <w:iCs/>
        </w:rPr>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Corporativa</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corporativa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(Figura 5)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la Figura 6 y el Anexo B.4. El 76,7 % de reducción (n = 8; §6.1.6) se midió sobre el tramo «material en mano hasta publicación confirmada». La toma de la foto no computa en ninguna condición; la adaptación de la imagen la hace la usuaria en la manual y el sistema en Postly, que rellena la imagen única a 1:1 (§4.4.2).</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del §3.5.4: que el sistema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(Hardt, 2012),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Corporativa</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se organiza en las siguientes capas: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con el motor low-code n8n —en E1, el servidor dado de baja; hoy, en la instancia local E2 (Anexo B.1)—, es el núcleo operativo del sistema.</w:t>
      </w:r>
      <w:r>
        <w:rPr>
          <w:rFonts w:ascii="Arial" w:eastAsia="Arial" w:hAnsi="Arial" w:cs="Arial"/>
          <w:i/>
          <w:iCs/>
        </w:rPr>
      </w:r>
      <w:r>
        <w:rPr>
          <w:rFonts w:ascii="Arial" w:eastAsia="Arial" w:hAnsi="Arial" w:cs="Arial"/>
        </w:rPr>
        <w:t xml:space="preserve">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de incumplir la normativa de la marca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605BFE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5A0D65D"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664CA3DF" w14:textId="77777777" w:rsidR="00FC5B64" w:rsidRDefault="00F85013">
      <w:pPr>
        <w:numPr>
          <w:ilvl w:val="0"/>
          <w:numId w:val="11"/>
        </w:numPr>
        <w:spacing w:after="240" w:line="276" w:lineRule="auto"/>
      </w:pPr>
      <w:r>
        <w:rPr>
          <w:rFonts w:ascii="Arial" w:eastAsia="Arial" w:hAnsi="Arial" w:cs="Arial"/>
        </w:rPr>
        <w:lastRenderedPageBreak/>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0FDFFD3D" w14:textId="77777777" w:rsidR="009A77A9" w:rsidRDefault="001E7637">
      <w:pPr>
        <w:jc w:val="center"/>
      </w:pPr>
      <w:r>
        <w:rPr>
          <w:i/>
          <w:sz w:val="20"/>
        </w:rPr>
        <w:t>Nota. Fuente: elaboración propia. El orden es el del sistema: la auditoría visual corre antes de generar los copys, de modo que una imagen con precio incrustado interrumpe el flujo sin gastar una inferencia de redacción (Anexo B.4; Tabla 9, HU8), y si cualquiera de las dos auditorías detecta un precio se le avisa a la usuaria. El flujo de video agrega una tercera respuesta, avisar sin bloquear, cuando el recorte a 9:16 elimina el precio (§4.3.1). La firma se concatena por código antes de publicar (Anexo B.4), y el activo se sube a Cloudinary para que la Graph API lo descargue (pasos 12 y 13). El canal visual del Módulo Centinela es una llamada al mismo Gemini (pasos 3 y 4) y el textual, un nodo de código determinista (paso 10): el recorrido consume dos inferencias (Anexo E.5).</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4577A66" w14:textId="77777777" w:rsidR="00FC5B64" w:rsidRDefault="00FC5B64">
      <w:pPr>
        <w:spacing w:after="240" w:line="276" w:lineRule="auto"/>
        <w:ind w:left="720"/>
        <w:rPr>
          <w:rFonts w:ascii="Arial" w:eastAsia="Arial" w:hAnsi="Arial" w:cs="Arial"/>
        </w:rPr>
      </w:pPr>
    </w:p>
    <w:p w14:paraId="1AFF611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242CC73E"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64E459B5" w14:textId="77777777" w:rsidR="00FC5B64" w:rsidRDefault="00FC5B64">
      <w:pPr>
        <w:spacing w:after="240" w:line="276" w:lineRule="auto"/>
        <w:ind w:left="720"/>
        <w:rPr>
          <w:rFonts w:ascii="Arial" w:eastAsia="Arial" w:hAnsi="Arial" w:cs="Arial"/>
        </w:rPr>
      </w:pPr>
    </w:p>
    <w:p w14:paraId="275259D6" w14:textId="77777777" w:rsidR="00FC5B64" w:rsidRDefault="00F85013">
      <w:pPr>
        <w:numPr>
          <w:ilvl w:val="0"/>
          <w:numId w:val="29"/>
        </w:numPr>
        <w:spacing w:after="240" w:line="276" w:lineRule="auto"/>
      </w:pPr>
      <w:r>
        <w:rPr>
          <w:rFonts w:ascii="Arial" w:eastAsia="Arial" w:hAnsi="Arial" w:cs="Arial"/>
          <w:b/>
          <w:bCs/>
        </w:rPr>
        <w:lastRenderedPageBreak/>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1963D225"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para que los nodos resulten legibles.</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le permite a la consultora ver y gestionar sus publicaciones programadas y el historial de las ya publicadas.</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n8n lee las filas de la hoja de publicaciones en Google Sheets.</w:t>
      </w:r>
      <w:r>
        <w:rPr>
          <w:rFonts w:ascii="Arial" w:eastAsia="Arial" w:hAnsi="Arial" w:cs="Arial"/>
          <w:i/>
          <w:iCs/>
        </w:rPr>
      </w:r>
      <w:r>
        <w:rPr>
          <w:rFonts w:ascii="Arial" w:eastAsia="Arial" w:hAnsi="Arial" w:cs="Arial"/>
        </w:rPr>
        <w:t xml:space="preserve">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BA6D7A3" w14:textId="77777777" w:rsidR="00FC5B64" w:rsidRDefault="00F85013">
      <w:pPr>
        <w:spacing w:after="240" w:line="276" w:lineRule="auto"/>
        <w:rPr>
          <w:rFonts w:ascii="Arial" w:eastAsia="Arial" w:hAnsi="Arial" w:cs="Arial"/>
        </w:rPr>
      </w:pPr>
      <w:r>
        <w:rPr>
          <w:rFonts w:ascii="Arial" w:eastAsia="Arial" w:hAnsi="Arial" w:cs="Arial"/>
          <w:b/>
          <w:bCs/>
        </w:rPr>
        <w:t>Fase 0: Onboarding y validación del token</w:t>
      </w:r>
      <w:r>
        <w:rPr>
          <w:rFonts w:ascii="Arial" w:eastAsia="Arial" w:hAnsi="Arial" w:cs="Arial"/>
          <w:b/>
          <w:bCs/>
          <w:i/>
          <w:iCs/>
        </w:rPr>
      </w:r>
      <w:r>
        <w:rPr>
          <w:rFonts w:ascii="Arial" w:eastAsia="Arial" w:hAnsi="Arial" w:cs="Arial"/>
          <w:b/>
          <w:bCs/>
        </w:rPr>
      </w:r>
      <w:r>
        <w:rPr>
          <w:rFonts w:ascii="Arial" w:eastAsia="Arial" w:hAnsi="Arial" w:cs="Arial"/>
        </w:rPr>
        <w:t xml:space="preserve"> Esta fase verifica que la usuaria haya autorizado por OAuth los permisos que el sistema necesita para publicar en su nombre.</w:t>
      </w:r>
    </w:p>
    <w:p w14:paraId="3AAB4D0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58B5C919" w14:textId="77777777" w:rsidR="00FC5B64" w:rsidRDefault="00FC5B64">
      <w:pPr>
        <w:spacing w:after="240" w:line="276" w:lineRule="auto"/>
        <w:ind w:left="720"/>
        <w:rPr>
          <w:rFonts w:ascii="Arial" w:eastAsia="Arial" w:hAnsi="Arial" w:cs="Arial"/>
        </w:rPr>
      </w:pPr>
    </w:p>
    <w:p w14:paraId="50F0A497"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AE70CE6" w14:textId="77777777" w:rsidR="00FC5B64" w:rsidRDefault="00FC5B64">
      <w:pPr>
        <w:spacing w:after="240" w:line="276" w:lineRule="auto"/>
        <w:ind w:left="720"/>
        <w:rPr>
          <w:rFonts w:ascii="Arial" w:eastAsia="Arial" w:hAnsi="Arial" w:cs="Arial"/>
        </w:rPr>
      </w:pPr>
    </w:p>
    <w:p w14:paraId="4CE69770"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454C9341" w14:textId="77777777" w:rsidR="00FC5B64" w:rsidRDefault="00FC5B64">
      <w:pPr>
        <w:spacing w:after="240" w:line="276" w:lineRule="auto"/>
        <w:ind w:left="720"/>
        <w:rPr>
          <w:rFonts w:ascii="Arial" w:eastAsia="Arial" w:hAnsi="Arial" w:cs="Arial"/>
        </w:rPr>
      </w:pPr>
    </w:p>
    <w:p w14:paraId="25BA1036"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6E0CBB29" w14:textId="77777777" w:rsidR="00FC5B64" w:rsidRDefault="00FC5B64">
      <w:pPr>
        <w:spacing w:after="240" w:line="276" w:lineRule="auto"/>
        <w:ind w:left="720"/>
        <w:rPr>
          <w:rFonts w:ascii="Arial" w:eastAsia="Arial" w:hAnsi="Arial" w:cs="Arial"/>
        </w:rPr>
      </w:pPr>
    </w:p>
    <w:p w14:paraId="7975020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habilita la creación de contenido, donde la consultora trabaja con las propuestas del modelo multimodal bajo el paradigma de "Humano en el Bucle" (</w:t>
      </w:r>
      <w:r>
        <w:rPr>
          <w:rFonts w:ascii="Arial" w:eastAsia="Arial" w:hAnsi="Arial" w:cs="Arial"/>
          <w:i/>
          <w:iCs/>
        </w:rPr>
        <w:t>Human-in-the-Loop</w:t>
      </w:r>
      <w:r>
        <w:rPr>
          <w:rFonts w:ascii="Arial" w:eastAsia="Arial" w:hAnsi="Arial" w:cs="Arial"/>
        </w:rPr>
        <w:t>).</w:t>
      </w:r>
    </w:p>
    <w:p w14:paraId="18DC1413"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FAD9AB" w14:textId="77777777" w:rsidR="0078296D" w:rsidRDefault="001E7637">
      <w:pPr>
        <w:numPr>
          <w:ilvl w:val="0"/>
          <w:numId w:val="54"/>
        </w:numPr>
        <w:spacing w:after="240" w:line="276" w:lineRule="auto"/>
      </w:pPr>
      <w:r>
        <w:rPr>
          <w:rFonts w:ascii="Arial" w:eastAsia="Arial" w:hAnsi="Arial" w:cs="Arial"/>
          <w:b/>
          <w:bCs/>
        </w:rPr>
        <w:t>Auditoría Visual Preventiva:</w:t>
      </w:r>
      <w:r>
        <w:rPr>
          <w:rFonts w:ascii="Arial" w:eastAsia="Arial" w:hAnsi="Arial" w:cs="Arial"/>
          <w:b w:val="0"/>
          <w:bCs/>
        </w:rPr>
        <w:t xml:space="preserve">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2B7D5AE0" w14:textId="77777777" w:rsidR="00FC5B64" w:rsidRDefault="00FC5B64">
      <w:pPr>
        <w:spacing w:after="240" w:line="276" w:lineRule="auto"/>
        <w:ind w:left="720"/>
        <w:rPr>
          <w:rFonts w:ascii="Arial" w:eastAsia="Arial" w:hAnsi="Arial" w:cs="Arial"/>
        </w:rPr>
      </w:pPr>
    </w:p>
    <w:p w14:paraId="0314107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33C8EEA4" w14:textId="77777777" w:rsidR="00FC5B64" w:rsidRDefault="00FC5B64">
      <w:pPr>
        <w:spacing w:after="240" w:line="276" w:lineRule="auto"/>
        <w:ind w:left="720"/>
        <w:rPr>
          <w:rFonts w:ascii="Arial" w:eastAsia="Arial" w:hAnsi="Arial" w:cs="Arial"/>
        </w:rPr>
      </w:pPr>
    </w:p>
    <w:p w14:paraId="3E77C6A6"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Cs/>
        </w:rPr>
        <w:t xml:space="preserve"> El sistema computa tres variantes de copywriting profesionales y se las presenta a la usuaria. La auditoría textual no corre todavía, porque el texto que importa es el que la usuaria confirme.</w:t>
      </w:r>
    </w:p>
    <w:p w14:paraId="140C9A36" w14:textId="77777777" w:rsidR="00FC5B64" w:rsidRDefault="00FC5B64">
      <w:pPr>
        <w:spacing w:after="240" w:line="276" w:lineRule="auto"/>
        <w:ind w:left="720"/>
        <w:rPr>
          <w:rFonts w:ascii="Arial" w:eastAsia="Arial" w:hAnsi="Arial" w:cs="Arial"/>
        </w:rPr>
      </w:pPr>
    </w:p>
    <w:p w14:paraId="4284BD2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959F342" w14:textId="77777777" w:rsidR="0078296D" w:rsidRDefault="001E7637">
      <w:pPr>
        <w:numPr>
          <w:ilvl w:val="0"/>
          <w:numId w:val="54"/>
        </w:numPr>
        <w:spacing w:after="240" w:line="276" w:lineRule="auto"/>
      </w:pPr>
      <w:r>
        <w:rPr>
          <w:rFonts w:ascii="Arial" w:eastAsia="Arial" w:hAnsi="Arial" w:cs="Arial"/>
          <w:b/>
          <w:bCs/>
        </w:rPr>
        <w:t>Auditoría Textual y Firma:</w:t>
      </w:r>
      <w:r>
        <w:rPr>
          <w:rFonts w:ascii="Arial" w:eastAsia="Arial" w:hAnsi="Arial" w:cs="Arial"/>
          <w:b w:val="0"/>
          <w:bCs/>
        </w:rPr>
        <w:t xml:space="preserve"> sobre el texto que la usuaria confirma, el nodo de función aplica los motores RegEx —que interrumpen el flujo si detectan un precio— y concatena la firma que el sistema impone en todas sus publicaciones (Consultora de Belleza Independiente Mary Kay).</w:t>
      </w:r>
    </w:p>
    <w:p w14:paraId="0AD6269D" w14:textId="77777777" w:rsidR="00FC5B64" w:rsidRDefault="00FC5B64">
      <w:pPr>
        <w:spacing w:after="240" w:line="276" w:lineRule="auto"/>
        <w:ind w:left="720"/>
        <w:rPr>
          <w:rFonts w:ascii="Arial" w:eastAsia="Arial" w:hAnsi="Arial" w:cs="Arial"/>
        </w:rPr>
      </w:pPr>
    </w:p>
    <w:p w14:paraId="5493FD6C"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6DEE67"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305FBAEA" w14:textId="77777777" w:rsidR="00FC5B64" w:rsidRDefault="00FC5B64">
      <w:pPr>
        <w:spacing w:after="240" w:line="276" w:lineRule="auto"/>
        <w:ind w:left="720"/>
        <w:rPr>
          <w:rFonts w:ascii="Arial" w:eastAsia="Arial" w:hAnsi="Arial" w:cs="Arial"/>
        </w:rPr>
      </w:pPr>
    </w:p>
    <w:p w14:paraId="63926026"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017F740A" w14:textId="77777777" w:rsidR="00FC5B64" w:rsidRDefault="00FC5B64">
      <w:pPr>
        <w:spacing w:after="240" w:line="276" w:lineRule="auto"/>
        <w:ind w:left="720"/>
        <w:rPr>
          <w:rFonts w:ascii="Arial" w:eastAsia="Arial" w:hAnsi="Arial" w:cs="Arial"/>
        </w:rPr>
      </w:pPr>
    </w:p>
    <w:p w14:paraId="11935C22" w14:textId="77777777" w:rsidR="00FC5B64" w:rsidRDefault="00F85013">
      <w:pPr>
        <w:numPr>
          <w:ilvl w:val="0"/>
          <w:numId w:val="22"/>
        </w:numPr>
        <w:spacing w:after="240" w:line="276" w:lineRule="auto"/>
      </w:pPr>
      <w:r>
        <w:rPr>
          <w:rFonts w:ascii="Arial" w:hAnsi="Arial"/>
          <w:b/>
        </w:rPr>
        <w:t>Notificación de Fallo y Recuperación:</w:t>
      </w:r>
      <w:r>
        <w:rPr>
          <w:rFonts w:ascii="Arial" w:hAnsi="Arial"/>
          <w:b w:val="0"/>
        </w:rPr>
        <w:t xml:space="preserve"> si falla una publicación programada, el Programador marca la fila como «Fallido» y le avisa a la usuaria, que puede retomarla desde Mi Agenda.</w:t>
      </w:r>
    </w:p>
    <w:p w14:paraId="5D42362E" w14:textId="77777777" w:rsidR="00FC5B64" w:rsidRDefault="00FC5B64">
      <w:pPr>
        <w:spacing w:after="240" w:line="276" w:lineRule="auto"/>
        <w:ind w:left="720"/>
        <w:rPr>
          <w:rFonts w:ascii="Arial" w:eastAsia="Arial" w:hAnsi="Arial" w:cs="Arial"/>
        </w:rPr>
      </w:pPr>
    </w:p>
    <w:p w14:paraId="50256009"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44E208D8" w14:textId="77777777" w:rsidR="00FC5B64" w:rsidRDefault="00F85013">
      <w:pPr>
        <w:numPr>
          <w:ilvl w:val="0"/>
          <w:numId w:val="45"/>
        </w:numPr>
        <w:spacing w:after="240" w:line="276" w:lineRule="auto"/>
      </w:pPr>
      <w:r>
        <w:rPr>
          <w:rFonts w:ascii="Arial" w:hAnsi="Arial"/>
          <w:b/>
        </w:rPr>
        <w:t>Interfaz de Control (CRUD):</w:t>
      </w:r>
      <w:r>
        <w:rPr>
          <w:rFonts w:ascii="Arial" w:hAnsi="Arial"/>
          <w:b w:val="0"/>
        </w:rPr>
        <w:t xml:space="preserve"> El bot renderiza tarjetas dinámicas recuperadas mediante un GET a Google Sheets, donde cada tarjeta </w:t>
      </w:r>
      <w:r>
        <w:rPr>
          <w:rFonts w:ascii="Arial" w:hAnsi="Arial"/>
          <w:b w:val="0"/>
        </w:rPr>
        <w:lastRenderedPageBreak/>
        <w:t>actúa como un objeto de datos con estados visuales claros ([Pendiente] / [Programado] / [Publicado] / [Fallido]).</w:t>
      </w:r>
    </w:p>
    <w:p w14:paraId="2E7A1C90" w14:textId="77777777" w:rsidR="00FC5B64" w:rsidRDefault="00FC5B64">
      <w:pPr>
        <w:spacing w:after="240" w:line="276" w:lineRule="auto"/>
        <w:ind w:left="720"/>
        <w:rPr>
          <w:rFonts w:ascii="Arial" w:eastAsia="Arial" w:hAnsi="Arial" w:cs="Arial"/>
        </w:rPr>
      </w:pPr>
    </w:p>
    <w:p w14:paraId="1DA68ED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19C28F5F" w14:textId="77777777" w:rsidR="00FC5B64" w:rsidRDefault="00FC5B64">
      <w:pPr>
        <w:spacing w:after="240" w:line="276" w:lineRule="auto"/>
        <w:ind w:left="720"/>
        <w:rPr>
          <w:rFonts w:ascii="Arial" w:eastAsia="Arial" w:hAnsi="Arial" w:cs="Arial"/>
        </w:rPr>
      </w:pPr>
    </w:p>
    <w:p w14:paraId="5802EB01"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un botón permite volver a publicar una pieza ya publicada, con copys nuevos y sin crear un activo nuevo. El sistema no selecciona por desempeño: la consultora elige qué fila reciclar desde Mi Agenda.</w:t>
      </w: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que el detector no bloquea.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cuatro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cuatro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pPr/>
      <w:r>
        <w:rPr>
          <w:rFonts w:ascii="Arial" w:hAnsi="Arial"/>
          <w:b w:val="0"/>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3A9A8B93"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corregido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1,9</w:t>
            </w:r>
          </w:p>
        </w:tc>
        <w:tc>
          <w:tcPr>
            <w:tcW w:w="2126" w:type="dxa"/>
          </w:tcPr>
          <w:p w14:paraId="33D368E0" w14:textId="77777777" w:rsidR="003718F8" w:rsidRDefault="00C832E5">
            <w:pPr>
              <w:jc w:val="center"/>
            </w:pPr>
            <w:r>
              <w:rPr>
                <w:rFonts w:ascii="Arial" w:hAnsi="Arial"/>
              </w:rPr>
              <w:t>75,5 %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1,7</w:t>
            </w:r>
          </w:p>
        </w:tc>
        <w:tc>
          <w:tcPr>
            <w:tcW w:w="2126" w:type="dxa"/>
          </w:tcPr>
          <w:p w14:paraId="6E6C0DC1" w14:textId="77777777" w:rsidR="003718F8" w:rsidRDefault="00C832E5">
            <w:pPr>
              <w:jc w:val="center"/>
            </w:pPr>
            <w:r>
              <w:rPr>
                <w:rFonts w:ascii="Arial" w:hAnsi="Arial"/>
              </w:rPr>
              <w:t>75,4 %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1,5</w:t>
            </w:r>
          </w:p>
        </w:tc>
        <w:tc>
          <w:tcPr>
            <w:tcW w:w="2126" w:type="dxa"/>
          </w:tcPr>
          <w:p w14:paraId="521C2BB9" w14:textId="77777777" w:rsidR="003718F8" w:rsidRDefault="00C832E5">
            <w:pPr>
              <w:jc w:val="center"/>
            </w:pPr>
            <w:r>
              <w:rPr>
                <w:rFonts w:ascii="Arial" w:hAnsi="Arial"/>
              </w:rPr>
              <w:t>78,7 %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1,3</w:t>
            </w:r>
          </w:p>
        </w:tc>
        <w:tc>
          <w:tcPr>
            <w:tcW w:w="2124" w:type="dxa"/>
          </w:tcPr>
          <w:p w14:paraId="77E1FA2F" w14:textId="77777777" w:rsidR="00FF53C9" w:rsidRDefault="001E7637">
            <w:r>
              <w:t>83,0 %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1,7</w:t>
            </w:r>
          </w:p>
        </w:tc>
        <w:tc>
          <w:tcPr>
            <w:tcW w:w="2124" w:type="dxa"/>
          </w:tcPr>
          <w:p w14:paraId="13D8FB04" w14:textId="77777777" w:rsidR="00FF53C9" w:rsidRDefault="001E7637">
            <w:r>
              <w:t>71,8 %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1,9</w:t>
            </w:r>
          </w:p>
        </w:tc>
        <w:tc>
          <w:tcPr>
            <w:tcW w:w="2124" w:type="dxa"/>
          </w:tcPr>
          <w:p w14:paraId="218A0AAC" w14:textId="77777777" w:rsidR="00FF53C9" w:rsidRDefault="001E7637">
            <w:r>
              <w:t>71,9 %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1,5</w:t>
            </w:r>
          </w:p>
        </w:tc>
        <w:tc>
          <w:tcPr>
            <w:tcW w:w="2124" w:type="dxa"/>
          </w:tcPr>
          <w:p w14:paraId="2D2FBF0F" w14:textId="77777777" w:rsidR="00FF53C9" w:rsidRDefault="001E7637">
            <w:r>
              <w:t>80,0 %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1,7</w:t>
            </w:r>
          </w:p>
        </w:tc>
        <w:tc>
          <w:tcPr>
            <w:tcW w:w="2124" w:type="dxa"/>
          </w:tcPr>
          <w:p w14:paraId="6E10D9E4" w14:textId="77777777" w:rsidR="00FF53C9" w:rsidRDefault="001E7637">
            <w:r>
              <w:t>76,7 %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§3.5.4,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FAD74E3"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C6A0B5E"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r>
        <w:rPr>
          <w:rFonts w:ascii="Arial" w:hAnsi="Arial"/>
        </w:rPr>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Dos de ellos pesaron más sobre la arquitectura:</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de extremo a extremo; no reporta, en cambio, un costo por interacción, y el sistema no tiene hoy un despliegue vigente.</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t>concluyente. En cuanto al resultado, la hipótesis del 70 % (§3.5.4)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veintitrés, y hasta el 19 de septiembre de 2026 el </w:t>
      </w:r>
      <w:r>
        <w:rPr>
          <w:rFonts w:ascii="Arial" w:hAnsi="Arial"/>
        </w:rPr>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veintitrés mensajes comerciales del corpus (§6.1.3)— ni a las materias que el módulo no audita, y el propio sistema modifica material de la marca al recortar el video y rellenar la imagen (§7.8). Lo que sigue precisa, objetivo por objetivo, qué queda cubierto y qué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los intervalos de Wilson que el Anexo E.14 reporta describen la variación entre los ítems juzgados, no entre evaluadores.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76,7 % supera el umbral del 70 % fijado como hipótesis en el §3.5.4.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r>
        <w:rPr>
          <w:rFonts w:ascii="Arial" w:hAnsi="Arial"/>
          <w:i/>
          <w:lang w:val="en-US"/>
        </w:rPr>
      </w:r>
      <w:r>
        <w:rPr>
          <w:rFonts w:ascii="Arial" w:hAnsi="Arial"/>
          <w:lang w:val="en-US"/>
        </w:rPr>
      </w:r>
      <w:r w:rsidRPr="006C55E3">
        <w:rPr>
          <w:rFonts w:ascii="Arial" w:hAnsi="Arial"/>
          <w:lang w:val="es-AR"/>
        </w:rPr>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https://openreview.net/forum?id=VtmBAGCN7o</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ejemplar entregado a la cátedra].</w:t>
      </w:r>
      <w:r>
        <w:rPr>
          <w:rFonts w:ascii="Arial" w:hAnsi="Arial"/>
          <w:i/>
        </w:rPr>
      </w:r>
      <w:r>
        <w:rPr>
          <w:rFonts w:ascii="Arial" w:hAnsi="Arial"/>
        </w:rPr>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t>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corporativa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 Sus DOI se habían reservado el 23 de septiembre, y el registro se actualizó después con las planillas de las sesiones del 26 y 27.</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w:t>
      </w:r>
      <w:r>
        <w:t xml:space="preserve">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t>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Lo que este trabajo toma de ellos como declarado de antemano está transcrito en el propio documento: el umbral, el contraste, la unidad de análisis y el tramo comparable en el §3.5.4, y la partición del cronómetro en el §6.1.6 y el Anexo E.2.</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t>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acuerdo inter-evaluador que calcular, y el intervalo de Wilson describe la variación entre productos y no entre evaluadores.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t>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