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a canales privados con clientas y clientas potenciales, y los prohíben en publicaciones dirigidas al público general (Mary Kay Inc., s.f.; Anexo D). Son comerciales los que dan información suficiente para decidir una compra, como un precio, un descuento o una oferta, y los que invitan a comprar o a contactar. Cumplirlas depende hoy sólo de la revisión, la memoria y el cuidado de la emprendedora, y el trabajo manual consume tiempo que no vuelve al cierre de ventas ni al liderazgo de equipos.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que son instrumentales al Acuerdo de Consultora (§2.4; Anexo D). La primera prohíbe los mensajes comerciales fuera de un canal privado con clientas; el módulo audita de ellos la referencia monetaria, que es una parte de la regla (§6.1.3). La segunda obliga a usar la nomenclatura autorizada («Consultora de Belleza Independiente Mary Kay») en el nombre de la página de negocio (Mary Kay Inc., s.f.); la norma no exige firmar cada publicación del feed. El cumplimiento recae hoy en una supervisión humana falible bajo fatiga (Reason, 1990): basta no borrar el precio de una placa promocional. El §2.4 acota el alcance de esa exposición: la fuente no fija sanción para el mensaje comercial en canal público, de modo que lo comprometido es el cumplimiento y no una consecuencia tipificada.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—verificar, antes de publicar, que un contenido cumpla una norma—, se leyeron completos; nueve estaban accesibles. Ninguno es un antecedente directo de Postly. TORA (Wang et al., 2026) incorpora reglas de una comunidad a la moderación con modelos de lenguaje, pero la ejerce la plataforma y fuera de línea. Warner et al. (2025) estudian la moderación proactiva del lado de quien publica, como el Módulo Centinela, pero sobre toxicidad. Das et al. (2026) y Barrientos et al. (2026) verifican cumplimiento normativo con modelos de lenguaje —el segundo, combinados con reglas deterministas—, pero sobre requisitos de software y procesos de negocio. El vacío del §1.6.3 queda así respaldado por lectura y no sólo por la ausencia de resultados.</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que codifica procedimientos estandarizados para coordinar agentes especializados, y AutoAgents (Chen et al., 2024), que los genera según la tarea, representan el estado del arte en sistemas multiagente. Postly no lo es: invoca un único modelo (Gemini 2.5 Flash) en puntos discretos de un workflow determinista (§5.1), lo que simplifica su depuración y su costo a cambio de flexibilidad. Yao et al. (2025) formalizan ese patrón —un modelo invocado en varias etapas encadenadas por un orquestador externo—, aunque no lo presentan como alternativa a los sistemas multiagente, y Wang et al. (2024) organizan el campo en torno a la construcción, las aplicaciones y la evaluación de los agentes. En marketing, Grewal et al. (2025) sistematizan cómo la IA generativa redefine la creación de contenido, el movimiento en el que se inscribe este trabajo.</w:t>
      </w:r>
    </w:p>
    <w:p w14:paraId="63CCA7F2" w14:textId="77777777" w:rsidR="00F91B8C" w:rsidRDefault="00F85013">
      <w:r>
        <w:t>En el plano del Módulo Centinela, Gómez et al. (2024) muestran que decisiones de entrenamiento que no afectan la exactitud promedio de un clasificador sí determinan qué casos clasifica mal. El desempeño agregado no dice qué casos deja pasar un detector, que es lo que expone el análisis de valores límite del §6.1, aunque el canal textual de Postly sea un conjunto de reglas y no un modelo entrenado. Sobre los modelos de lenguaje como clasificadores, que el §8.2 recomienda en reemplazo de esas reglas, Kumar et al. (2024) los evalúan contra reglas de moderación de comunidades de Reddit,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95FCF7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2BA7FC83"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668F06C1"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r/>
    </w:p>
    <w:p w14:paraId="4535DF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869A720"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83D2C6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r/>
    </w:p>
    <w:p w14:paraId="5BDC9FE6"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4520283"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5289C6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051E2B" w14:textId="77777777" w:rsidR="00FC5B64" w:rsidRDefault="00F85013">
      <w:pPr>
        <w:spacing w:after="240" w:line="276" w:lineRule="auto"/>
      </w:pPr>
      <w:r>
        <w:t>Un webhook es una URL pública, cifrada con TLS, en la que n8n espera que la plataforma de origen le avise de una novedad.</w:t>
      </w:r>
    </w:p>
    <w:p w14:paraId="7963300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D36AFFE"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063A168"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33EAD2" w14:textId="77777777" w:rsidR="00FC5B64" w:rsidRDefault="00F85013">
      <w:pPr>
        <w:spacing w:after="240" w:line="276" w:lineRule="auto"/>
      </w:pPr>
      <w:r>
        <w:t>La Figura 1 lo representa como diagrama de secuencia.</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FFA1D61"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9595A20" w14:textId="77777777" w:rsidR="00FC5B64" w:rsidRDefault="00F85013">
      <w:pPr>
        <w:spacing w:after="240" w:line="276" w:lineRule="auto"/>
      </w:pPr>
      <w:r>
        <w:t>Es defensa en profundidad (Cole et al., 2005): permisos delegados, acotados y revocables, más 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F96C672"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De ahí los dos términos de este trabajo: «mensaje comercial» es lo que la norma regula, y «referencia monetaria», la parte de aquél que el módulo audita. La fuente funda la regla en dos razones: los términos de uso de varias plataformas limitan el mensaje comercial en las páginas personales, y el consumidor responde mejor sin una solicitud comercial directa. Leerla como protección de la venta consultiva frente a la guerra de precios es una interpretación de los autores (Kotler y Keller, 2012), no un fundamento de la fuente.</w:t>
      </w:r>
    </w:p>
    <w:p w14:paraId="32D2A46A"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71D8E765"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CDE1B29"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04691A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r w:rsidR="004C24AB"/>
      <w:r/>
      <w:r>
        <w:rPr>
          <w:i/>
          <w:iCs/>
        </w:rPr>
      </w:r>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1418236"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r>
        <w:rPr>
          <w:b/>
          <w:bCs/>
        </w:rPr>
      </w:r>
      <w:r/>
    </w:p>
    <w:p w14:paraId="705FAD6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r>
        <w:rPr>
          <w:bCs/>
        </w:rPr>
      </w:r>
    </w:p>
    <w:p w14:paraId="218CF0E9" w14:textId="77777777" w:rsidR="00FC5B64" w:rsidRDefault="00F85013">
      <w:pPr>
        <w:spacing w:after="240" w:line="276" w:lineRule="auto"/>
      </w:pPr>
      <w:r>
        <w:t>Se usaron además tres instrumentos de depuración:</w:t>
      </w:r>
      <w:r>
        <w:rPr>
          <w:i/>
          <w:iCs/>
        </w:rPr>
      </w:r>
      <w:r/>
    </w:p>
    <w:p w14:paraId="3702EB0B"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r>
        <w:rPr>
          <w:b/>
          <w:bCs/>
        </w:rPr>
      </w:r>
      <w:r/>
      <w:r>
        <w:rPr>
          <w:i/>
          <w:iCs/>
        </w:rPr>
      </w:r>
      <w:r/>
    </w:p>
    <w:p w14:paraId="05FFDB05"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ni una serie de ventas que permita medir el impacto comercial (Anexo E;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t>Con ellos, las tres variables del §3.5.4 cuentan con medición.</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Ninguno es la saturación teórica (Glaser y Strauss, 1967), que gobierna el muestreo de material narrativo: aquí las variables son un tiempo, una proporción y una escala Likert, cuyo campo libre completaron cuatro de las ocho participantes (Anexo E.3). El de la variable (a) es un criterio pragmático de disponibilidad declarado en el Anexo E —un mínimo de 3 consultoras con 3 publicaciones—, que el piloto cumplió (12 pares) y la ampliación escaló a 8 consultoras y 32 pares; el §6.1 reporta sólo la ampliación. El de la (b) lo fijan los conjuntos de casos (40, 40, 25, 20 y 9) y el corpus de campo (29), y el de la (c), las ocho participantes. Para muestras pequeñas y no normales como ésta, Kitchenham y Madeyski (2024) muestran que la probabilidad de superioridad sesga menos que la d de Cohen: el §6.1 informa la d por convención, y el §6.1.6 agrega la probabilidad de superioridad pareada y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Las variables de la fase de evaluación (§3.2) se operacionalizan así:</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Se mide el sistema entero, sin aislar la interfaz conversacional, con una prueba t unilateral contra el 70 % (H₀: reducción = 70 %), la participante como unidad de análisis y el tramo comparable, que descuenta del lado manual la adaptación de la imagen. Umbral, contraste y tramo se fijaron en el protocolo antes de la primera sesión (Anexo E.4). La regla que toma como tiempo de Postly el mayor entre el cronómetro y el intervalo del motor se adoptó al ver los datos, cuando el cronómetro resultó subregistrar la espera por el modelo; produce por construcción una cota, y el §6.1.6 la acompaña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7C72824"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0E5BCAF7" w14:textId="77777777" w:rsidR="00F91B8C" w:rsidRDefault="00F85013">
      <w:r>
        <w:t>Validez interna: la ampliación contrabalanceó el orden de las condiciones y no detectó efecto de orden ni de aprendizaje, aunque con n = 8 ninguno de los dos contrastes tiene potencia para ser concluyente. Las observaciones están anidadas en ocho participantes, de modo que el contraste se calcula sobre las medias por sujeto. Se suman las características de demanda: la condición manual es autoadministrada, y tres participantes tienen relación previa con los autores. El registro de reclutamiento las estratifica en «Ninguna» (n = 5), «Conocida» (n = 2) y «Familiar» (n = 1), y la reducción no difiere entre estratos (§6.1.6). Y la condición manual incluye adaptar la imagen al formato de feed, que con Postly no le corresponde a la usuaria: la ampliación registró ese tramo por separado, de modo que la amenaza queda medida.</w:t>
      </w:r>
    </w:p>
    <w:p w14:paraId="7286300E"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071A8F5B"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20FA378E"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r/>
    </w:p>
    <w:p w14:paraId="2AD628AF"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4E3829C"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Adhiriendo a la Privacidad desde el Diseño (Cavoukian, 2009), el sistema evita almacenar Información Personal Identificable (PII) que no sea necesaria para el flujo de publicación. La hoja Usuarios guarda el identificador que Telegram asigna a la conversación —clave primaria y filtro de multitenencia—, el identificador y el nombre de la página de Facebook, el de la cuenta de Instagram Business, la vigencia del token y el token, cifrado con AES-256-GCM (Anexo B.3). La hoja Config guarda la firma y el contacto de cada consultora, en una fila con su identificador, y una fila general para quien no tiene una propia (Anexo B.4). La de publicaciones guarda el copy, el estado, la fecha programada, las URIs de los activos y los identificadores de cada publicación en ambas redes. El identificador de la conversación es dato personal en cualquier marco de protección de datos, y se almacena porque es la dirección a la que responde el bot.</w:t>
      </w:r>
      <w:r/>
    </w:p>
    <w:p w14:paraId="584D193E"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del que salen la Tabla 13 y la conciliación de tiempos del Anexo E.2, se conserva en la máquina de los autores. El armado de un carrusel usa un archivo del servidor como buffer (Anexo B.5), y la deduplicación guarda identificadores de callback. Las imágenes y los videos se alojan en Cloudinary, un tercero, y se suben antes de la auditoría visual porque el modelo los lee por URL. Cuando el módulo bloquea una pieza por un precio, la borra en paralelo al aviso; un bloqueo por el texto no borra nada, porque la usuaria reintenta con las mismas imágenes. Lo subido antes del 1 de octubre de 2026 no se depuró. El principio, por lo tanto, no es que no haya otro dato personal, sino que no se recolecta ninguno ajeno al flujo; el historial, que durante su plazo guarda el update entero, es donde queda más expuesto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r>
        <w:rPr>
          <w:i/>
          <w:iCs/>
        </w:rPr>
      </w:r>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cómo se implementó Postly: las catorce Historias de Usuario con sus criterios de aceptación (§4.1), el alcance del MVP (§4.2) y las dos piezas con más lógica propia, el Módulo Centinela y el procesamiento multimedia. Como propone la práctica ágil, los requerimientos se expresan por el valor que aportan a la usuaria (Beck et al., 2001).</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 xml:space="preserve">Para que cada historia sea comprobable —el atributo «Testable» del modelo INVEST (Wake, 2003)— se la acompaña de criterios de aceptación: las </w:t>
      </w:r>
      <w:r>
        <w:t>condiciones que el sistema debe cumplir para darla por terminada. Donde un criterio fija un umbral, el umbral se conserva como se redactó antes de medir, y el Anexo E.7 registra si se verificó. Los umbrales numéricos se fijaron antes de las mediciones de septiembre de 2026 que los contrastan; hasta entonces, varios criterios los expresaban sin cifra («latencia mínima»). Reescribirlo a la medida de lo observado le quitaría su función, que es comprometer un valor antes de conocerlo.</w:t>
      </w:r>
    </w:p>
    <w:p w14:paraId="512EA0A0" w14:textId="77777777" w:rsidR="00FC5B64" w:rsidRDefault="00F85013">
      <w:pPr>
        <w:spacing w:after="240" w:line="276" w:lineRule="auto"/>
      </w:pPr>
      <w:r>
        <w:t>Las catorce historias se agrupan en cinco módulos. Su estado de cumplimiento se consolida en el Anexo A, y su trazabilidad hasta los Objetivos Específicos, en el Anexo E.13. Los resultados de cada una están en el Capítulo 6; acá se describe el diseño.</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extrae el identificador que Telegram asigna a la conversación y lo busca en la hoja Usuarios (columna TelegramUserID). Ese identificador es la única clave de usuaria del sistema y la que aísla la multitenencia (§5.2.2; modelo de datos del §5.1.1); según exista o no, la usuaria sigue a su sesión 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la Graph API devolvió el token de página sin campo de expiración, que es una propiedad de la respuesta y no la longevidad del token.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el Anexo E.7 lo registra sin verificar.</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la evidencia disponible, acotada, está en el §7.2 y el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el orden del carrusel: una portada de mayor impacto visual y el resto en secuencia narrativa. La comparación de ese orden con el que arma la consultora y con el de envío la reportan el §6.1.8 y el Anexo E.14.</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que este trabajo no relevó.</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el §5.2.1 y el Anexo B.4. La reducción del 76,7 % (n = 8; cota superior, §6.1.6) se midió sobre el tramo «material en mano hasta publicación confirmada». La selección y descarga de la imagen no computa en ninguna condición; la adaptación de la imagen la hace la usuaria en la manual y el sistema en Postly, que rellena la imagen única a 1:1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7FA14C95" w14:textId="77777777" w:rsidR="002D7F2C" w:rsidRDefault="00F72315">
      <w:pPr>
        <w:spacing w:after="240" w:line="276" w:lineRule="auto"/>
      </w:pPr>
      <w:r>
        <w:t xml:space="preserve">El nodo agrega, además de la firma, la línea de contacto que la hoja Config guarda para la consultora. En las 41 ejecuciones del historial de E2 que van de las sesiones del 26 y 27 de septiembre a las pruebas del 28, esa línea es la misma: un identificador de Instagram y un número de WhatsApp, sin verbo ni invitación. Se concatena a cada publicación sin condición. Las Pautas definen el mensaje comercial por el acto y lo ejemplifican con «¡Pregúntame cómo </w:t>
      </w:r>
      <w:r>
        <w:lastRenderedPageBreak/>
        <w:t>puedes conseguirlo!» (p. 3), una invitación a contactar. Una línea de datos no es ese acto, pero cumple su función, que es ofrecer el canal para que quien lee escriba, y la fuente no dice si un dato de contacto al pie de un mensaje informativo lo vuelve comercial. Este trabajo no puede resolverlo con la letra, y lo declara como una pregunta abierta. Tiene tres consecuencias. Las mediciones del Anexo E.12 (0/15 y 0/32) se tomaron sobre el copy que genera el modelo, antes de que el nodo concatene la firma y el contacto, de modo que no alcanzan a esa línea. La línea es idéntica en cada publicación y no depende del modelo, así que ninguna corrección del prompt la modifica. Y su contenido lo fija la consultora en la hoja: Postly no la obliga a poner un contacto, pero tampoco la avisa de que podría ser comercial. Queda como riesgo residual, con la recomendación de hacerla opcional y de consultarla con la Compañía (§8.2).</w:t>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w:t>
      </w:r>
      <w:r>
        <w:lastRenderedPageBreak/>
        <w:t>evaluación del Capítulo 6: antes la guarda no se disparaba y el video seguía sin control de duración (§6.1, Anexo E.4).</w:t>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213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—sobre un servidor propio: E1 hasta septiembre de 2026 y E3 desde octubre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fila por consultora, identificada por su TelegramUserID, y una fila general sin dueña;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de modo que la imagen bloqueada se borra de Cloudinary en paralelo al aviso (§3.7.1). Si cualquiera de las dos auditorías detecta un precio se le avisa a la usuaria. El flujo de video agrega una tercera respuesta, avisar sin bloquear, cuando el recorte a 9:16 elimina el precio (§4.3.1). El video y sus fotogramas también se suben antes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(Anexo E.4).</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t>de las Pautas, que alcanza también a la solicitud de compra sin cifra (Capítulo 7). Los casos de texto los ejecutó un script que transcribe verbatim las seis expresiones del nodo desplegado y registra el veredicto y la expresión que disparó cada bloqueo (Anexo E.4).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el material complementario (Anexo E.4).</w:t>
      </w:r>
    </w:p>
    <w:p w14:paraId="6862C91A" w14:textId="77777777" w:rsidR="00FF11D0" w:rsidRDefault="001E7637">
      <w: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el material complementario (Anexo E.4).</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caso por caso en el material complementario (Anexo E.4).</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La verificación del Anexo E.4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se contrastan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 de la ampliación, Anexo E.2).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(protocolo de la ampliación, §5).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el de la ampliación invierte ítems para medir la aquiescencia, la tendencia a acordar con una afirmación y también con su contraria (§3.5.5).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binomial exacta bilateral, p = 0,125; Anexo E.14.2). Esos carruseles son de dos imágenes, de modo que cada uno admite sólo dos órdenes.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Anexo E.2).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—ya se guarda por usuaria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