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475EA899"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1576E0E2"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legal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Legal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o programada en Instagram y Facebook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estructura el campo en torno a la construcción, la coordinación y la evaluación de agentes, y en esas dimensiones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legal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Legal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(conjeturada)</w:t>
            </w:r>
          </w:p>
        </w:tc>
        <w:tc>
          <w:tcPr>
            <w:tcW w:w="2126" w:type="dxa"/>
          </w:tcPr>
          <w:p w14:paraId="71DE45FF" w14:textId="77777777" w:rsidR="00F91B8C" w:rsidRPr="00003BC6" w:rsidRDefault="00F85013">
            <w:pPr>
              <w:rPr>
                <w:lang w:val="es-ES"/>
              </w:rPr>
            </w:pPr>
            <w:r w:rsidRPr="00003BC6">
              <w:rPr>
                <w:sz w:val="18"/>
                <w:lang w:val="es-ES"/>
              </w:rPr>
              <w:t>No evaluado (el §3.3.3 declara el escenario conjeturado)</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6109916B"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2CFF2E3A"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549D2B41"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 xml:space="preserve">El backend debe realizar la consulta asincrónica a la base de datos en menos de 2 segundos, dentro del límite de 60 segundos </w:t>
      </w:r>
      <w:r>
        <w:rPr>
          <w:rFonts w:ascii="Arial" w:hAnsi="Arial"/>
        </w:rPr>
        <w:lastRenderedPageBreak/>
        <w:t>que Telegram tolera antes de invalidar el webhook por timeout del lado del cliente.</w:t>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1 (Figura 5) y se sincroniza también leyendo Instagram (Anexo B.8).</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(RFC 6749),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Legal</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legal comercial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FDFFD3D" w14:textId="77777777" w:rsidR="009A77A9" w:rsidRDefault="001E7637">
      <w:pPr>
        <w:jc w:val="center"/>
      </w:pPr>
      <w:r>
        <w:rPr>
          <w:i/>
          <w:sz w:val="20"/>
        </w:rPr>
        <w:t>Nota. Fuente: elaboración propia.</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El sistema actualiza el estado en la hoja de cálculo como "Fallido" y notifica a la usuaria con un diagnóstico legible para que pueda reintentar la acción de subida sin perder la caché del contenido ya generado por la IA.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lastRenderedPageBreak/>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A9A8B93" w14:textId="77777777" w:rsidR="003718F8" w:rsidRDefault="00C832E5">
      <w:r>
        <w:rPr>
          <w:rFonts w:ascii="Arial" w:hAnsi="Arial"/>
        </w:rPr>
        <w:t>La Tabla 7 resume los tiempos medios por participante y el agregado global,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1,6</w:t>
            </w:r>
          </w:p>
        </w:tc>
        <w:tc>
          <w:tcPr>
            <w:tcW w:w="2126" w:type="dxa"/>
          </w:tcPr>
          <w:p w14:paraId="33D368E0" w14:textId="77777777" w:rsidR="003718F8" w:rsidRDefault="00C832E5">
            <w:pPr>
              <w:jc w:val="center"/>
            </w:pPr>
            <w:r>
              <w:rPr>
                <w:rFonts w:ascii="Arial" w:hAnsi="Arial"/>
              </w:rPr>
              <w:t>79,1 %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1,6</w:t>
            </w:r>
          </w:p>
        </w:tc>
        <w:tc>
          <w:tcPr>
            <w:tcW w:w="2126" w:type="dxa"/>
          </w:tcPr>
          <w:p w14:paraId="6E6C0DC1" w14:textId="77777777" w:rsidR="003718F8" w:rsidRDefault="00C832E5">
            <w:pPr>
              <w:jc w:val="center"/>
            </w:pPr>
            <w:r>
              <w:rPr>
                <w:rFonts w:ascii="Arial" w:hAnsi="Arial"/>
              </w:rPr>
              <w:t>76,6 %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1,1</w:t>
            </w:r>
          </w:p>
        </w:tc>
        <w:tc>
          <w:tcPr>
            <w:tcW w:w="2126" w:type="dxa"/>
          </w:tcPr>
          <w:p w14:paraId="521C2BB9" w14:textId="77777777" w:rsidR="003718F8" w:rsidRDefault="00C832E5">
            <w:pPr>
              <w:jc w:val="center"/>
            </w:pPr>
            <w:r>
              <w:rPr>
                <w:rFonts w:ascii="Arial" w:hAnsi="Arial"/>
              </w:rPr>
              <w:t>84,6 %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1,0</w:t>
            </w:r>
          </w:p>
        </w:tc>
        <w:tc>
          <w:tcPr>
            <w:tcW w:w="2124" w:type="dxa"/>
          </w:tcPr>
          <w:p w14:paraId="77E1FA2F" w14:textId="77777777" w:rsidR="00FF53C9" w:rsidRDefault="001E7637">
            <w:r>
              <w:t>87,3 %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1,0</w:t>
            </w:r>
          </w:p>
        </w:tc>
        <w:tc>
          <w:tcPr>
            <w:tcW w:w="2124" w:type="dxa"/>
          </w:tcPr>
          <w:p w14:paraId="13D8FB04" w14:textId="77777777" w:rsidR="00FF53C9" w:rsidRDefault="001E7637">
            <w:r>
              <w:t>82,8 %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1,3</w:t>
            </w:r>
          </w:p>
        </w:tc>
        <w:tc>
          <w:tcPr>
            <w:tcW w:w="2124" w:type="dxa"/>
          </w:tcPr>
          <w:p w14:paraId="218A0AAC" w14:textId="77777777" w:rsidR="00FF53C9" w:rsidRDefault="001E7637">
            <w:r>
              <w:t>82,0 %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1,1</w:t>
            </w:r>
          </w:p>
        </w:tc>
        <w:tc>
          <w:tcPr>
            <w:tcW w:w="2124" w:type="dxa"/>
          </w:tcPr>
          <w:p w14:paraId="2D2FBF0F" w14:textId="77777777" w:rsidR="00FF53C9" w:rsidRDefault="001E7637">
            <w:r>
              <w:t>85,3 %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1,4</w:t>
            </w:r>
          </w:p>
        </w:tc>
        <w:tc>
          <w:tcPr>
            <w:tcW w:w="2124" w:type="dxa"/>
          </w:tcPr>
          <w:p w14:paraId="6E10D9E4" w14:textId="77777777" w:rsidR="00FF53C9" w:rsidRDefault="001E7637">
            <w:r>
              <w:t>81,8 %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AD74E3"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6C6A0B5E" w14:textId="77777777" w:rsidR="003718F8" w:rsidRDefault="00C832E5">
      <w:r>
        <w:rPr>
          <w:rFonts w:ascii="Arial" w:hAnsi="Arial"/>
        </w:rPr>
        <w:t xml:space="preserve">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w:t>
      </w:r>
      <w:r>
        <w:rPr>
          <w:rFonts w:ascii="Arial" w:hAnsi="Arial"/>
        </w:rPr>
        <w:lastRenderedPageBreak/>
        <w:t>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00CA9C38"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84499"/>
      <w:r>
        <w:rPr>
          <w:rFonts w:ascii="Arial" w:eastAsia="Arial" w:hAnsi="Arial" w:cs="Arial"/>
        </w:rPr>
        <w:t>6.3 Estado del Proyecto y Trabajo Futuro</w:t>
      </w:r>
      <w:bookmarkEnd w:id="204"/>
      <w:bookmarkEnd w:id="205"/>
    </w:p>
    <w:p w14:paraId="77D7B9ED"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lastRenderedPageBreak/>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lastRenderedPageBreak/>
        <w:t>concluyente. Y la hipótesis del 70 % (§4.2) se superó de forma estadísticamente significativa (81,8 %; IC 95 % [78,6 %; 85,1 %]; t(7) = 8,51; p &lt; 0,001; §6.1).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lastRenderedPageBreak/>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investigación permitió validar la hipótesis de factibilidad, desde la arquitectura de sistemas y con evidencia empírica de escala piloto. Es técnica y operativamente viable una arquitectura low-code con Inteligencia Artificial Multimodal que simplifique la creación de contenido y audite de forma preventiva la referencia monetaria que la normativa de la marca prohíbe en el canal público. Lo que sigue precisa, objetivo por objetivo, qué parte de esa normativa queda cubierta y cuál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cada resultado es un juicio experto descriptivo y no una estimación con intervalo.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§4.2 planteó que una CUI inteligente puede reducir el tiempo operativo de posteo en más de un 70 % respecto al proceso manual. En la ampliación de ocho consultoras, el cronometraje intra-sujeto de 32 pares arrojó una reducción media del 81,8 % sobre el tramo comparable, significativamente por encima del umbral (t(7) = 8,51; p &lt; 0,001; IC 95 % [78,6 %; 85,1 %]). La prueba pareada sobre los minutos ahorrados corrobora en la misma dirección (t(7) = 19,98;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81,8 % supera el umbral del 70 % fijado como hipótesis en el §4.2.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El intervalo de confianza de la reducción se estrechó de ± 17,2 a ± 3,3 puntos porcentuales, más de lo proyectado (± 5,8), porque el efecto resultó mayor y menos variable que en el piloto. Para contrastar el umbral del 70 % con una potencia del 80 % sobre un efecto del tamaño del piloto, el diseño original había calculado unas 24 participantes. El acceso del equipo a consultoras fuera de su círculo se agotó en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xml:space="preserve">. </w:t>
      </w:r>
      <w:r w:rsidRPr="006C55E3">
        <w:rPr>
          <w:rFonts w:ascii="Arial" w:hAnsi="Arial"/>
          <w:lang w:val="es-AR"/>
        </w:rPr>
        <w:t>Preimpresión: https://doi.org/10.48550/arXiv.2309.17288</w:t>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https://marykay.sv/wp-content/uploads/2023/06/Social-Media-Mary-Kay-Final_compressed.pdf</w:t>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1B778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lastRenderedPageBreak/>
        <w:t>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lastRenderedPageBreak/>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pero no tuvo un caso propio.</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w:t>
      </w:r>
      <w:r>
        <w:lastRenderedPageBreak/>
        <w:t>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lastRenderedPageBreak/>
        <w:t>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lastRenderedPageBreak/>
        <w:t>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