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63CCA7F2"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t>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representa ese flujo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r/>
    </w:p>
    <w:p w14:paraId="512EA0A0"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FA14C95"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r>
        <w:rPr>
          <w:bCs/>
        </w:rPr>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34CB9E36" w14:textId="77777777" w:rsidR="00FC5B64" w:rsidRDefault="00F85013">
      <w:pPr>
        <w:spacing w:after="240" w:line="276" w:lineRule="auto"/>
      </w:pPr>
      <w:r>
        <w:t>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r/>
    </w:p>
    <w:p w14:paraId="028151C4"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r>
        <w:rPr>
          <w:i/>
          <w:iCs/>
        </w:rPr>
      </w:r>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r>
        <w:rPr>
          <w:b/>
          <w:bCs/>
        </w:rPr>
      </w:r>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r>
        <w:rPr>
          <w:b/>
          <w:bCs/>
        </w:rPr>
      </w:r>
      <w:r/>
      <w:r>
        <w:rPr>
          <w:i/>
          <w:iCs/>
        </w:rPr>
      </w:r>
      <w:r/>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r w:rsidR="004C24AB"/>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r/>
      <w:r>
        <w:rPr>
          <w:i/>
          <w:iCs/>
        </w:rPr>
      </w:r>
      <w:r/>
      <w:r>
        <w:rPr>
          <w:i/>
          <w:iCs/>
        </w:rPr>
      </w:r>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r>
        <w:rPr>
          <w:i/>
          <w:iCs/>
        </w:rPr>
      </w:r>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r>
        <w:rPr>
          <w:b/>
          <w:bCs/>
        </w:rPr>
      </w:r>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La arquitectura adopta cuatro principios de diseño, adaptados a la integración de APIs (Martin, 2003):</w:t>
      </w:r>
      <w:r>
        <w:rPr>
          <w:i/>
          <w:iCs/>
        </w:rPr>
      </w:r>
      <w:r/>
    </w:p>
    <w:p w14:paraId="01C730CA"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r>
        <w:rPr>
          <w:b/>
          <w:bCs/>
        </w:rPr>
      </w:r>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r>
        <w:rPr>
          <w:bCs/>
        </w:rPr>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D6EF1AE"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r>
        <w:rPr>
          <w:b/>
          <w:bCs/>
        </w:rPr>
      </w:r>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r/>
    </w:p>
    <w:p w14:paraId="6D5B734A"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6862C91A"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4B1EFBA" w14:textId="77777777" w:rsidR="00680AF0" w:rsidRDefault="00680AF0"/>
    <w:p w14:paraId="09466EE4"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36D06782" w14:textId="77777777" w:rsidR="00680AF0" w:rsidRDefault="00680AF0"/>
    <w:p w14:paraId="741FC9E1"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7159AFD5" w14:textId="77777777" w:rsidR="0017566B" w:rsidRDefault="001E7637">
      <w:pPr>
        <w:jc w:val="both"/>
      </w:pPr>
      <w:r>
        <w:t>Los casos extremos de legibilidad se midieron aparte, en una extensión de nueve casos con la inferencia repetida (Anexo E.8).</w:t>
      </w:r>
    </w:p>
    <w:p w14:paraId="18BB7585" w14:textId="77777777" w:rsidR="009068B6" w:rsidRDefault="0075734E">
      <w:pPr>
        <w:jc w:val="both"/>
      </w:pPr>
      <w:r>
        <w:t>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981B99"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6867A3D5"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2717A002"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156D9B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r/>
    </w:p>
    <w:p w14:paraId="7BEA2ACC"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178C999"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1DAD0C4"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4B75C58B"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028522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r/>
    </w:p>
    <w:p w14:paraId="25E41775"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3A6497F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0265990"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r/>
    </w:p>
    <w:p w14:paraId="460B856E"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430AA407"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A437CEF"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2803D669"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36454141"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613FCBE4"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77DD53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r/>
    </w:p>
    <w:p w14:paraId="6168EA87"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10FA378E"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6A31F56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r/>
    </w:p>
    <w:p w14:paraId="199FB6A7" w14:textId="77777777" w:rsidR="003718F8" w:rsidRDefault="00C832E5">
      <w:r>
        <w:t>El tiempo manual medido corresponde al tramo «material en mano → publicación en ambas redes»; la curación y creación previa del contenido no se midió.</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71FBBF9C"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r/>
    </w:p>
    <w:p w14:paraId="61F2C7B2"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39E3D39A"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r/>
    </w:p>
    <w:p w14:paraId="782A5620"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0B3714EC"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r>
        <w:rPr>
          <w:bCs/>
          <w:i/>
          <w:iCs/>
        </w:rPr>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r/>
    </w:p>
    <w:p w14:paraId="6489E659"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F1E1D0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0E73AB84"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pPr/>
      <w:r>
        <w:rPr>
          <w:b w:val="0"/>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pPr/>
      <w:r>
        <w:rPr>
          <w:b w:val="0"/>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pPr/>
      <w:r>
        <w:rPr>
          <w:b w:val="0"/>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pPr/>
      <w:r>
        <w:rPr>
          <w:b w:val="0"/>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pPr/>
      <w:r>
        <w:rPr>
          <w:b w:val="0"/>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pPr/>
      <w:r>
        <w:rPr>
          <w:b w:val="0"/>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pPr/>
      <w:r>
        <w:rPr>
          <w:b w:val="0"/>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pPr/>
      <w:r>
        <w:rPr>
          <w:b w:val="0"/>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pPr/>
      <w:r>
        <w:rPr>
          <w:b w:val="0"/>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r>
        <w:rPr>
          <w:b w:val="0"/>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