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Fase 0: Onboarding y validación del token</w:t>
      </w:r>
      <w:r>
        <w:rPr>
          <w:rFonts w:ascii="Arial" w:eastAsia="Arial" w:hAnsi="Arial" w:cs="Arial"/>
          <w:b/>
          <w:bCs/>
          <w:i/>
          <w:iCs/>
        </w:rPr>
      </w:r>
      <w:r>
        <w:rPr>
          <w:rFonts w:ascii="Arial" w:eastAsia="Arial" w:hAnsi="Arial" w:cs="Arial"/>
          <w:b/>
          <w:bCs/>
        </w:rPr>
      </w:r>
      <w:r>
        <w:rPr>
          <w:rFonts w:ascii="Arial" w:eastAsia="Arial" w:hAnsi="Arial" w:cs="Arial"/>
        </w:rPr>
        <w:t xml:space="preserve"> Esta fase verifica que la usuaria haya autorizado por OAuth los permisos que el sistema necesita para publicar en su nombre.</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habilita la creación de contenido, donde la consultora trabaja con las propuestas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si falla una publicación programada, el Programador marca la fila como «Fallido» y le avisa a la usuaria, que puede retomarla desde Mi Agenda.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un botón permite volver a publicar una pieza ya publicada, con copys nuevos y sin crear un activo nuevo.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Sus DOI se habían reservado el 23 de septiembre, y el registro se actualizó después con las planillas de las sesiones del 26 y 27.</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