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&amp;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w:t>
      </w:r>
      <w:r>
        <w:rPr>
          <w:rFonts w:ascii="Arial" w:eastAsia="Arial" w:hAnsi="Arial" w:cs="Arial"/>
        </w:rPr>
        <w:lastRenderedPageBreak/>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críticas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lastRenderedPageBreak/>
        <w:t>compañías de venta directa como Mary Kay imponen restricciones contractuales estrictas. Destacan dos: la prohibición de comunicar mensajes de naturaleza comercial —precios, descuentos u ofertas— fuera de un canal privado con clientas, y la obligatoriedad de utilizar nomenclaturas legales específicas, como la firma corporativa "Consultora de Belleza Independiente Mary Kay" (Mary Kay Inc., s.f.; véase Anexo D).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&amp;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&amp; Norvig, 2010), capa que queda como trabajo futuro y que este alcance no implementa (§6.1).</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hitos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lastRenderedPageBreak/>
        <w:t>ámbito de la Interacción Humano-Computadora (HCI), las interfaces conversacionales han demostrado reducir drásticamente la carga 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hito técnico exige la implementación sinérgica de técnicas de Procesamiento de Lenguaje Natural (NLP), rutinas deterministas de expresiones regulares (RegEx) y capacidades de visión artificial (Computer Vision) de tipo RegTech (Arner, Barberis, &amp; Buckley, 2017). El objetivo es detectar y suprimir precios, porcentajes de descuento o referencias monetarias explícitas en publicaciones destinadas a entornos públicos, conforme a las restricciones normativas descritas en el Anexo D. El módulo deberá </w:t>
      </w:r>
      <w:r>
        <w:rPr>
          <w:rFonts w:ascii="Arial" w:hAnsi="Arial"/>
        </w:rPr>
        <w:lastRenderedPageBreak/>
        <w:t>forzar además, a nivel de código, la concatenación sistemática de las firmas de identidad corporativa obligatorias ("Consultora de Belleza Independiente Mary Kay").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&amp;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&amp;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&amp;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 críticas.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lastRenderedPageBreak/>
        <w:t>autorizado o forzar la inyección de una firma legal ("Consultora de Belleza Independiente") antes de enviarlo a la API de Meta. Esta carencia deja a la consultora totalmente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exponencialmente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Parcial**</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Parcial***</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&amp;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rigurosamente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&amp; Rymer, 2014). A diferencia de otras soluciones de automatización comerciales (iPaaS genéricas), la herramienta n8n se distingue por tres pilares arquitectónicos que resultan críticos para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&amp;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r>
        <w:rPr>
          <w:rFonts w:ascii="Arial" w:eastAsia="Arial" w:hAnsi="Arial" w:cs="Arial"/>
          <w:i/>
          <w:iCs/>
        </w:rPr>
      </w:r>
      <w:r>
        <w:rPr>
          <w:rFonts w:ascii="Arial" w:eastAsia="Arial" w:hAnsi="Arial" w:cs="Arial"/>
        </w:rPr>
      </w:r>
    </w:p>
    <w:p>
      <w:pPr>
        <w:spacing w:after="240" w:line="276" w:lineRule="auto"/>
      </w:pPr>
      <w:r>
        <w:rPr>
          <w:rFonts w:ascii="Arial" w:eastAsia="Arial" w:hAnsi="Arial" w:cs="Arial"/>
          <w:b w:val="0"/>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lastRenderedPageBreak/>
        <w:t>ensamblaje de módulos inconexos. Es la capacidad de una arquitectura neuronal para procesar, alinear y razonar a la vez sobre distintas modalidades de datos —texto, imágenes, audio, video— dentro de una misma ventana de contexto (Baltrušaitis, Ahuja, &amp;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&amp;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Esta comprensión semántica habilita al bot para actuar como un asesor de marketing, sugiriendo algorítmicamente cuáles son las "imágenes ganadoras" fundamentándose no solo en etiquetas crudas, sino en la armonía visual de la pieza en su conjunto.</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&amp;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&amp;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&amp;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&amp;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de raíz estas severas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w:t>
      </w:r>
      <w:r>
        <w:rPr>
          <w:rFonts w:ascii="Arial" w:hAnsi="Arial"/>
        </w:rPr>
        <w:lastRenderedPageBreak/>
        <w:t>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 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&amp;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&amp;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bajo ninguna circunstancia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&amp; Wynn, 2018). En el ecosistema particular de la venta </w:t>
      </w:r>
      <w:r>
        <w:rPr>
          <w:rFonts w:ascii="Arial" w:hAnsi="Arial"/>
        </w:rPr>
        <w:lastRenderedPageBreak/>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&amp;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&amp;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&amp;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estricto marco del derecho comercial contemporáneo y las leyes de protección al consumidor, la transparencia informativa constituye un pilar innegociable para el libre ejercicio de la venta directa (Beales, Craswell, &amp;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lastRenderedPageBreak/>
        <w:t>sistema ejecuta una rutina de concatenación de cadenas de texto (string concatenation). Esa rutina adjunta de forma incondicional e inmutable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lastRenderedPageBreak/>
        <w:t>constantes para extraer imágenes del catálogo oficial, los sistemas de seguridad de la compañía matriz detectarían ese comportamiento como una anomalía: la propia de una botnet maliciosa o el preámbulo de un ataque de Denegación de Servicio (DDoS). La consecuencia legal y técnica inmediata de esta detección en el WAF corporativo no sería un simple error de red (</w:t>
      </w:r>
      <w:r>
        <w:rPr>
          <w:rFonts w:ascii="Arial" w:eastAsia="Arial" w:hAnsi="Arial" w:cs="Arial"/>
          <w:i/>
          <w:iCs/>
        </w:rPr>
        <w:t>Error 403 Forbidden</w:t>
      </w:r>
      <w:r>
        <w:rPr>
          <w:rFonts w:ascii="Arial" w:eastAsia="Arial" w:hAnsi="Arial" w:cs="Arial"/>
        </w:rPr>
        <w:t xml:space="preserve">), sino el "baneo" o bloqueo definitivo (suspensión total de credenciales IP y de usuario) de la cuenta de la consultora. Exponer irresponsablemente a la Consultora de Belleza a la pérdida traumática de su herramienta de trabajo digital principal por una automatización arquitectónicamente imprudente contradice los principios éticos del desarrollo de </w:t>
      </w:r>
      <w:r>
        <w:rPr>
          <w:rFonts w:ascii="Arial" w:eastAsia="Arial" w:hAnsi="Arial" w:cs="Arial"/>
          <w:i/>
          <w:iCs/>
        </w:rPr>
        <w:t>software</w:t>
      </w:r>
      <w:r>
        <w:rPr>
          <w:rFonts w:ascii="Arial" w:eastAsia="Arial" w:hAnsi="Arial" w:cs="Arial"/>
        </w:rPr>
        <w:t xml:space="preserve"> y el propósito fundacional del sistema Postly.</w:t>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&amp;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w:t>
      </w:r>
      <w:r>
        <w:rPr>
          <w:rFonts w:ascii="Arial" w:eastAsia="Arial" w:hAnsi="Arial" w:cs="Arial"/>
          <w:b/>
          <w:bCs/>
          <w:i/>
          <w:iCs/>
        </w:rPr>
        <w:t>Evaluation</w:t>
      </w:r>
      <w:r>
        <w:rPr>
          <w:rFonts w:ascii="Arial" w:eastAsia="Arial" w:hAnsi="Arial" w:cs="Arial"/>
          <w:b/>
          <w:bCs/>
        </w:rPr>
        <w:t>):</w:t>
      </w:r>
      <w:r>
        <w:rPr>
          <w:rFonts w:ascii="Arial" w:eastAsia="Arial" w:hAnsi="Arial" w:cs="Arial"/>
        </w:rPr>
        <w:t xml:space="preserve"> Verificación del comportamiento determinista del sistema mediante pruebas funcionales de </w:t>
      </w:r>
      <w:r>
        <w:rPr>
          <w:rFonts w:ascii="Arial" w:eastAsia="Arial" w:hAnsi="Arial" w:cs="Arial"/>
          <w:i/>
          <w:iCs/>
        </w:rPr>
        <w:t>software</w:t>
      </w:r>
      <w:r>
        <w:rPr>
          <w:rFonts w:ascii="Arial" w:eastAsia="Arial" w:hAnsi="Arial" w:cs="Arial"/>
        </w:rPr>
        <w:t xml:space="preserve"> (</w:t>
      </w:r>
      <w:r>
        <w:rPr>
          <w:rFonts w:ascii="Arial" w:eastAsia="Arial" w:hAnsi="Arial" w:cs="Arial"/>
          <w:i/>
          <w:iCs/>
        </w:rPr>
        <w:t>Testing</w:t>
      </w:r>
      <w:r>
        <w:rPr>
          <w:rFonts w:ascii="Arial" w:eastAsia="Arial" w:hAnsi="Arial" w:cs="Arial"/>
        </w:rPr>
        <w:t xml:space="preserve"> de caja negra y validación de APIs), orientadas a auditar la capacidad del artefacto tecnológico para detectar precios y forzar identidades visuales según los requerimientos.</w:t>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pStyle w:val="Heading2"/>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pStyle w:val="Heading3"/>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xml:space="preserve">,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w:t>
      </w:r>
      <w:r>
        <w:rPr>
          <w:rFonts w:ascii="Arial" w:eastAsia="Arial" w:hAnsi="Arial" w:cs="Arial"/>
        </w:rPr>
        <w:lastRenderedPageBreak/>
        <w:t>emergentes y altamente dinámicas,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&amp;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sinérgica e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&amp;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&amp;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inmutable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&amp;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críticas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97 casos controlados lo realizaron los propios desarrolladores del sistema, lo que introduce un sesgo de confirmación sobre esa porción de la evidencia. La amenaza se mitigó en el estudio de campo, donde un evaluador externo al equipo etiquetó los 29 casos de forma independiente (κ = 1,00 respecto de la consultora autora del material, §5.1) y tres consultoras ajenas al desarrollo ejecutaron el cronometraje y el cuestionario TAM; subsiste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&amp;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tabla de persistencia almacena el ID transaccional del sistema, las métricas públicas de engagement y el token de acceso de la usuaria, cifrado con AES-256-GCM antes de persistirse (Anexo B.3). Guarda también las URIs de los activos multimedia y los datos de contacto necesarios para la firma legal obligatoria. Ningún otro dato personal se recolecta ni se almacena.</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&amp;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 xml:space="preserve">3.7.4 Auditoría de </w:t>
      </w:r>
      <w:r>
        <w:rPr>
          <w:rFonts w:ascii="Arial" w:eastAsia="Arial" w:hAnsi="Arial" w:cs="Arial"/>
          <w:i/>
          <w:iCs/>
        </w:rPr>
        <w:t>Compliance</w:t>
      </w:r>
      <w:r>
        <w:rPr>
          <w:rFonts w:ascii="Arial" w:eastAsia="Arial" w:hAnsi="Arial" w:cs="Arial"/>
        </w:rPr>
        <w:t xml:space="preserve"> y prevención del fraude corporativo</w:t>
      </w:r>
      <w:bookmarkEnd w:id="57"/>
      <w:r>
        <w:rPr>
          <w:rFonts w:ascii="Arial" w:eastAsia="Arial" w:hAnsi="Arial" w:cs="Arial"/>
        </w:rPr>
        <w:t xml:space="preserve"> </w:t>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no solo eleva la calidad técnica del posteo, sino que previene proactivamente la competencia desleal, la publicidad engañosa y el fraude marcario. Esa intervención protege tanto a la empresa matriz como a los derechos informativos del consumidor final en redes sociales. </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Wake, 2003),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lastRenderedPageBreak/>
        <w:t>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&amp;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altamente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xml:space="preserve">) más críticos de las Consultoras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lastRenderedPageBreak/>
        <w:t>consultora, frente al flujo automatizado que el MVP propone (To-Be), en el que solo la elección de tono permanece en manos de la usuaria.</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&amp;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&amp;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&amp;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estructuralmente de manera estricta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En este punto el sistema evalúa condiciones lógicas y, si la estrategia lo requiere, puede disparar una orden de borrado (Delete) del post antiguo mediante API. Luego reinicia el ciclo de publicación para generar contenido que la plataforma de destino no identifique como una republicación exacta del mismo archivo.</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&amp;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lastRenderedPageBreak/>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pStyle w:val="Heading3"/>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pStyle w:val="Heading3"/>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 Se realiza una conversión automática a formatos soportados universalmente (JPG o PNG). Eso mitiga el riesgo de errores de renderizado (Error 400 Bad Request) en las plataformas de destino, causados por formatos modernos que Apple o Android generan y ellas no soportan, como HEIC o WebP.</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Redimensionamiento y Uniformidad Escalable:</w:t>
      </w:r>
      <w:r>
        <w:rPr>
          <w:rFonts w:ascii="Arial" w:eastAsia="Arial" w:hAnsi="Arial" w:cs="Arial"/>
        </w:rPr>
        <w:t xml:space="preserve"> El </w:t>
      </w:r>
      <w:r>
        <w:rPr>
          <w:rFonts w:ascii="Arial" w:eastAsia="Arial" w:hAnsi="Arial" w:cs="Arial"/>
          <w:i/>
          <w:iCs/>
        </w:rPr>
        <w:t>software</w:t>
      </w:r>
      <w:r>
        <w:rPr>
          <w:rFonts w:ascii="Arial" w:eastAsia="Arial" w:hAnsi="Arial" w:cs="Arial"/>
        </w:rPr>
        <w:t xml:space="preserve"> aplica filtros matemáticos de redimensionamiento escalar (</w:t>
      </w:r>
      <w:r>
        <w:rPr>
          <w:rFonts w:ascii="Arial" w:eastAsia="Arial" w:hAnsi="Arial" w:cs="Arial"/>
          <w:color w:val="188038"/>
        </w:rPr>
        <w:t>scale</w:t>
      </w:r>
      <w:r>
        <w:rPr>
          <w:rFonts w:ascii="Arial" w:eastAsia="Arial" w:hAnsi="Arial" w:cs="Arial"/>
        </w:rPr>
        <w:t>) para asegurar que todas las imágenes que componen una estructura de datos de tipo carrusel mantengan una relación de aspecto estricta y coherente (usualmente 1:1 o 4:5). Así se evita que la interfaz de Instagram fragmente la publicación o aplique bordes negros no deseados (</w:t>
      </w:r>
      <w:r>
        <w:rPr>
          <w:rFonts w:ascii="Arial" w:eastAsia="Arial" w:hAnsi="Arial" w:cs="Arial"/>
          <w:i/>
          <w:iCs/>
        </w:rPr>
        <w:t>Letterboxing</w:t>
      </w:r>
      <w:r>
        <w:rPr>
          <w:rFonts w:ascii="Arial" w:eastAsia="Arial" w:hAnsi="Arial" w:cs="Arial"/>
        </w:rPr>
        <w:t>).</w:t>
      </w:r>
    </w:p>
    <w:p w14:paraId="37F5138B" w14:textId="77777777" w:rsidR="00FC5B64" w:rsidRDefault="00FC5B64">
      <w:pPr>
        <w:pStyle w:val="Heading3"/>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refleja la forma habitual en que las consultoras redactan sus publicaciones —mayoría de casos directos y una minoría de casos límite— y se toma como medida principal. La configuración de estrés está deliberadamente cargada de casos límite y busca exponer las fronteras de decisión del detector. El detalle caso por caso de ambas configuraciones se presenta en el Anexo E.</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52418F09"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w:t>
      </w:r>
      <w:r>
        <w:rPr>
          <w:rFonts w:ascii="Arial" w:hAnsi="Arial"/>
        </w:rPr>
        <w:t xml:space="preserve">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w:t>
      </w:r>
      <w:r>
        <w:rPr>
          <w:rFonts w:ascii="Arial" w:hAnsi="Arial"/>
        </w:rPr>
        <w:lastRenderedPageBreak/>
        <w:t>etiquetada de forma independiente por la consultora y por un evaluador externo al equipo de desarrollo,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lastRenderedPageBreak/>
        <w:t>casos límite. Esta distinción entre la forma superficial de una cadena y su significado es la que separa, en la literatura de procesamiento del lenguaje natural, el reconocimiento por patrones de la clasificación semántica de textos (Jurafsky &amp;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Símbolo de moneda pospuesto al número (pendiente)</w:t>
            </w:r>
          </w:p>
        </w:tc>
        <w:tc>
          <w:tcPr>
            <w:tcW w:w="2126" w:type="dxa"/>
          </w:tcPr>
          <w:p w14:paraId="77EC9032" w14:textId="77777777" w:rsidR="009068B6" w:rsidRPr="00C30093" w:rsidRDefault="0075734E">
            <w:pPr>
              <w:rPr>
                <w:lang w:val="es-AR"/>
              </w:rPr>
            </w:pPr>
            <w:r w:rsidRPr="00C30093">
              <w:rPr>
                <w:sz w:val="18"/>
                <w:lang w:val="es-AR"/>
              </w:rPr>
              <w:t xml:space="preserve">«lo dejo en 2500$»</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«menos» en lugar de «off» (pendiente)</w:t>
            </w:r>
          </w:p>
        </w:tc>
        <w:tc>
          <w:tcPr>
            <w:tcW w:w="2126" w:type="dxa"/>
          </w:tcPr>
          <w:p w14:paraId="77EC9032" w14:textId="77777777" w:rsidR="009068B6" w:rsidRPr="00C30093" w:rsidRDefault="0075734E">
            <w:pPr>
              <w:rPr>
                <w:lang w:val="es-AR"/>
              </w:rPr>
            </w:pPr>
            <w:r w:rsidRPr="00C30093">
              <w:rPr>
                <w:sz w:val="18"/>
                <w:lang w:val="es-AR"/>
              </w:rPr>
              <w:t xml:space="preserve">«30% menos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signo negativo (pendiente)</w:t>
            </w:r>
          </w:p>
        </w:tc>
        <w:tc>
          <w:tcPr>
            <w:tcW w:w="2126" w:type="dxa"/>
          </w:tcPr>
          <w:p w14:paraId="77EC9032" w14:textId="77777777" w:rsidR="009068B6" w:rsidRPr="00C30093" w:rsidRDefault="0075734E">
            <w:pPr>
              <w:rPr>
                <w:lang w:val="es-AR"/>
              </w:rPr>
            </w:pPr>
            <w:r w:rsidRPr="00C30093">
              <w:rPr>
                <w:sz w:val="18"/>
                <w:lang w:val="es-AR"/>
              </w:rPr>
              <w:t xml:space="preserve">«-30% sólo por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bl>
    <w:p w14:paraId="7866817B"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F824B11"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w:t>
      </w:r>
      <w:r>
        <w:rPr>
          <w:rFonts w:ascii="Arial" w:hAnsi="Arial"/>
        </w:rPr>
        <w:t xml:space="preserve"> El protocolo y el script que las produce se documentan en ese mismo apartado.</w:t>
      </w:r>
    </w:p>
    <w:p>
      <w:pPr/>
      <w:r>
        <w:rPr>
          <w:rFonts w:ascii="Arial" w:hAnsi="Arial"/>
          <w:b w:val="0"/>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lastRenderedPageBreak/>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&amp;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 xml:space="preserve">La comparación entre ambos canales se apoya en bases desiguales. El canal de texto se midió sobre 97 casos controlados y 27 reales; el de imagen, sobre los cuatro de los conjuntos controlados, los 20 del conjunto ampliado (Anexo </w:t>
      </w:r>
      <w:r>
        <w:rPr>
          <w:rFonts w:ascii="Arial" w:hAnsi="Arial"/>
        </w:rPr>
        <w:lastRenderedPageBreak/>
        <w:t>E.6), los nueve casos difíciles del Anexo E.8 y los dos casos de imagen del estudio de campo. Esos dos son los únicos en que el canal visual operó sobre fotografía propia de una consultora, que es el régimen que el Anexo E.6 declara no haber medido. El sistema los publicó: su etiqueta de infractor proviene de un defecto de producto ajeno al criterio de compliance, de modo que no mueven ninguna métrica del módulo. 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&amp;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satisfactoriamente la inmensa complejidad del motor n8n, de modo que las tres consultoras operaron APIs corporativas complejas sin entrenamiento previo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de modo que la vigencia obtenida es mayor que la de 60 días que el diseño </w:t>
      </w:r>
      <w:r>
        <w:rPr>
          <w:rFonts w:ascii="Arial" w:eastAsia="Arial" w:hAnsi="Arial" w:cs="Arial"/>
        </w:rPr>
        <w:lastRenderedPageBreak/>
        <w:t>contemplaba,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lastRenderedPageBreak/>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Dada la flexibilidad del diseño orientado a servicios, esto requerirá únicamente la adición de nuevos nodos de consumo de API sin refactorizar el código base del cerebro cognitivo.</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pStyle w:val="Heading2"/>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pStyle w:val="Heading2"/>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Style w:val="Heading2"/>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pPr/>
      <w:r>
        <w:rPr>
          <w:b w:val="0"/>
        </w:rP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 xml:space="preserve">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El acuerdo entre ambas etiquetas fue completo (κ de Cohen = 1,00), por lo que no hubo desacuerdos que resolver por consenso. 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w:t>
      </w:r>
      <w:r>
        <w:rPr>
          <w:rFonts w:ascii="Arial" w:hAnsi="Arial"/>
        </w:rPr>
        <w:lastRenderedPageBreak/>
        <w:t>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 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r w:rsidR="00234065" w14:paraId="239315DF" w14:textId="77777777">
        <w:tc>
          <w:tcPr>
            <w:tcW w:w="1417" w:type="dxa"/>
          </w:tcPr>
          <w:p w14:paraId="1994BDB8" w14:textId="77777777" w:rsidR="00234065" w:rsidRDefault="00000000">
            <w:r>
              <w:rPr>
                <w:sz w:val="18"/>
              </w:rPr>
              <w:t xml:space="preserve">HU9</w:t>
            </w:r>
          </w:p>
        </w:tc>
        <w:tc>
          <w:tcPr>
            <w:tcW w:w="1417" w:type="dxa"/>
          </w:tcPr>
          <w:p w14:paraId="7A3F014D" w14:textId="77777777" w:rsidR="00234065" w:rsidRPr="00C30093" w:rsidRDefault="00000000">
            <w:pPr>
              <w:rPr>
                <w:lang w:val="es-AR"/>
              </w:rPr>
            </w:pPr>
            <w:r w:rsidRPr="00C30093">
              <w:rPr>
                <w:sz w:val="18"/>
                <w:lang w:val="es-AR"/>
              </w:rPr>
              <w:t xml:space="preserve">La firma legal se adjunta al final del mensaje en el 100 % de las ejecuciones, sin excepción condicional</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los cuatro nodos que publican concatenan la firma sin condición («caption = caption + firma»), y eliminan antes cualquier duplicado; ninguna rama publica sin ella</w:t>
            </w:r>
          </w:p>
        </w:tc>
        <w:tc>
          <w:tcPr>
            <w:tcW w:w="1417" w:type="dxa"/>
          </w:tcPr>
          <w:p w14:paraId="16966AFC" w14:textId="77777777" w:rsidR="00234065" w:rsidRDefault="00000000">
            <w:r>
              <w:rPr>
                <w:sz w:val="18"/>
              </w:rPr>
              <w:t xml:space="preserve">Sí</w:t>
            </w:r>
          </w:p>
        </w:tc>
      </w:tr>
      <w:tr w:rsidR="00234065" w14:paraId="239315DF" w14:textId="77777777">
        <w:tc>
          <w:tcPr>
            <w:tcW w:w="1417" w:type="dxa"/>
          </w:tcPr>
          <w:p w14:paraId="1994BDB8" w14:textId="77777777" w:rsidR="00234065" w:rsidRDefault="00000000">
            <w:r>
              <w:rPr>
                <w:sz w:val="18"/>
              </w:rPr>
              <w:t xml:space="preserve">HU13</w:t>
            </w:r>
          </w:p>
        </w:tc>
        <w:tc>
          <w:tcPr>
            <w:tcW w:w="1417" w:type="dxa"/>
          </w:tcPr>
          <w:p w14:paraId="7A3F014D" w14:textId="77777777" w:rsidR="00234065" w:rsidRPr="00C30093" w:rsidRDefault="00000000">
            <w:pPr>
              <w:rPr>
                <w:lang w:val="es-AR"/>
              </w:rPr>
            </w:pPr>
            <w:r w:rsidRPr="00C30093">
              <w:rPr>
                <w:sz w:val="18"/>
                <w:lang w:val="es-AR"/>
              </w:rPr>
              <w:t xml:space="preserve">El video normalizado no supera los 60 s</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el nodo «Video: procesar» interrumpe el flujo si la duración excede los 60 s y ofrece el recorte, que aplica «-t 60»</w:t>
            </w:r>
          </w:p>
        </w:tc>
        <w:tc>
          <w:tcPr>
            <w:tcW w:w="1417" w:type="dxa"/>
          </w:tcPr>
          <w:p w14:paraId="16966AFC" w14:textId="77777777" w:rsidR="00234065" w:rsidRDefault="00000000">
            <w:r>
              <w:rPr>
                <w:sz w:val="18"/>
              </w:rPr>
              <w:t xml:space="preserve">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