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 xml:space="preserve">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w:t>
      </w:r>
      <w:r>
        <w:lastRenderedPageBreak/>
        <w:t>validó de extremo a extremo sobre un servidor hoy dado de baja, y las mediciones corrieron sobre una instancia local.</w:t>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7F51AA2" w14:textId="77777777" w:rsidR="00FC5B64" w:rsidRDefault="00F85013">
      <w:pPr>
        <w:spacing w:after="240" w:line="276" w:lineRule="auto"/>
      </w:pPr>
      <w:r>
        <w:t xml:space="preserve">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w:t>
      </w:r>
      <w:r>
        <w:lastRenderedPageBreak/>
        <w:t>margen, las interfaces están diseñadas para agencias de marketing y la curva de aprendizaje excede lo que la usuaria promedio del sector puede asumir.</w:t>
      </w:r>
    </w:p>
    <w:p w14:paraId="210B85CE" w14:textId="77777777" w:rsidR="00FC5B64" w:rsidRDefault="00F85013">
      <w:pPr>
        <w:spacing w:after="240" w:line="276" w:lineRule="auto"/>
      </w:pPr>
      <w: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218F837" w14:textId="77777777" w:rsidR="00FC5B64" w:rsidRDefault="00F85013">
      <w:pPr>
        <w:spacing w:after="240" w:line="276" w:lineRule="auto"/>
      </w:pPr>
      <w:r>
        <w:t>Este último rol es el más sensible. Las normativas de marcas como Mary Kay restringen los mensajes comerciales: los que dan información suficiente para decidir una compra, como un precio, un descuento o una oferta, y los que invitan a comprar o a contactar. Los prohíben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 En adelante, «mensaje comercial» es lo que la norma regula y «referencia monetaria», lo que el Módulo Centinela audita: un precio, un descuento o una oferta expresados, que es una parte de aquél (§2.4; §6.1.3).</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fuera de un canal privado con clientas; el módulo audita de ellos la referencia monetaria —precio, descuento u oferta—, que es una parte de la regla (§6.1.3).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La literatura sobre el valor de negocio de las tecnologías de la información sostiene que una solución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Se organizan en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w:t>
      </w:r>
      <w:r>
        <w:lastRenderedPageBreak/>
        <w:t>Kay") en cada publicación que genera, que es una política del sistema y no una exigencia de la norma para el feed propio.</w:t>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(Inline Keyboards), menús anidados y confirmaciones ante acciones irreversibles, capaz de recibir y validar comandos de texto, imágenes y videos enviados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sobre el motor low-code n8n, con webhooks que procesan de forma asincrónica las peticiones de Telegram, lógica condicional, manejo </w:t>
      </w:r>
      <w:r>
        <w:lastRenderedPageBreak/>
        <w:t>de excepciones —como la caída de una API— y coordinación entre los servicios externos.</w:t>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D042AFE" w14:textId="77777777" w:rsidR="00F91B8C" w:rsidRDefault="00F85013">
      <w:r>
        <w:t>Aparte de ese relevamiento acotado, entre el 23 y el 25 de septiembre de 2026 se hizo una revisión más amplia, sin su restricción a 2024 y 2025. Consultó Crossref en veinte revistas arbitradas sobre ocho ejes del vacío que este trabajo declara y reunió 596 candidatos. El tamizado por título y resumen descartó 462 y dejó 85 para incluir. Ese tamizado no exigió lectura completa, y los editores bloquean la descarga automatizada de las obras de acceso abierto, de modo que la lectura completa se hizo a mano y sólo sobre las más cercanas al vacío. Los 34 candidatos sin acceso abierto no se intentaron, porque exigirían un acceso institucional que este trabajo no tiene.</w:t>
      </w:r>
    </w:p>
    <w:p w14:paraId="03F246A4" w14:textId="77777777" w:rsidR="00D3044A" w:rsidRDefault="007B27E4">
      <w:r>
        <w:t xml:space="preserve">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w:t>
      </w:r>
      <w:r>
        <w:lastRenderedPageBreak/>
        <w:t>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008CB86E" w14:textId="77777777" w:rsidR="006000D1" w:rsidRDefault="007B27E4">
      <w:r>
        <w:t>La lectura completa se extendió a la bibliografía reciente: de las 29 obras de 2024 a 2026 que este trabajo cita, veintiséis la tienen registrada (Lectura_A26.md y Lectura_obras_recientes.md, en el repositorio). Contrastada con lo que la tesis atribuía a cada una, corrigió cuatro citas. La distinción formativa/sumativa no es de Baskerville et al., que la citan de Venable et al. (2016). Yao et al. no presentan como tensión de diseño el patrón que describen. Kitchenham y Madeyski recomiendan una medida no paramétrica, que el §6.1.6 ahora informa. Y Yılmaz et al. no formulan la ventaja de los modelos de visión y lenguaje que se les atribuía. Las tres restantes —Liu et al. (2024), Larsen et al. (2025) y Storey et al. (2025)— están detrás de un muro de pago y no se consiguieron: de Liu y de Storey se conoce el resumen, y de Larsen, el título, y este trabajo no les apoya nada más que eso.</w:t>
      </w:r>
    </w:p>
    <w:p w14:paraId="318C05F0" w14:textId="77777777" w:rsidR="00F91B8C" w:rsidRDefault="00F85013">
      <w: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63CCA7F2" w14:textId="77777777" w:rsidR="00F91B8C" w:rsidRDefault="00F85013">
      <w:r>
        <w:t xml:space="preserve">En el plano del Módulo Centinela, la literatura sobre moderación algorítmica es más antigua y aporta un hallazgo pertinente. Gómez et al. (2024) muestran que </w:t>
      </w:r>
      <w:r>
        <w:lastRenderedPageBreak/>
        <w:t>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2B4D8BE9" w14:textId="77777777" w:rsidR="00FC5B64" w:rsidRDefault="00F85013">
      <w:pPr>
        <w:spacing w:after="240" w:line="276" w:lineRule="auto"/>
      </w:pPr>
      <w: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58FD29A2" w14:textId="77777777" w:rsidR="00FC5B64" w:rsidRDefault="00F85013">
      <w:pPr>
        <w:spacing w:after="240" w:line="276" w:lineRule="auto"/>
      </w:pPr>
      <w: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 xml:space="preserve">La segunda categoría corresponde a las plataformas genéricas de automatización de flujos de trabajo en la nube, siendo Zapier y Make (anteriormente Integromat) los dos productos de mayor difusión. Estas herramientas comparten el modelo de programación visual basada en nodos </w:t>
      </w:r>
      <w:r>
        <w:lastRenderedPageBreak/>
        <w:t>que Postly utiliza en su backend (n8n). Su principal ventaja es la amplia flexibilidad para conectar miles de aplicaciones mediante APIs, bajo el modelo de conectividad dirigida por APIs (API-led connectivity) (MuleSoft, s.f.).</w:t>
      </w:r>
    </w:p>
    <w:p w14:paraId="0BFD23A3" w14:textId="77777777" w:rsidR="00FC5B64" w:rsidRDefault="00F85013">
      <w:pPr>
        <w:spacing w:after="240" w:line="276" w:lineRule="auto"/>
      </w:pPr>
      <w: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5FCF7F" w14:textId="77777777" w:rsidR="00FC5B64" w:rsidRDefault="00F85013">
      <w:pPr>
        <w:spacing w:after="240" w:line="276" w:lineRule="auto"/>
      </w:pPr>
      <w: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según su resumen, los defectos de cuatro plataformas de bajo código (no de n8n) a partir de 974 defectos confirmados, y Kedziora y Wnuk (2026) muestran que la elicitación de requerimientos cambia cuando se desarrolla sobre una de ellas. Tres propiedades la justifican frente a las iPaaS comerciales:</w:t>
      </w:r>
    </w:p>
    <w:p w14:paraId="2BA7FC83" w14:textId="77777777" w:rsidR="00FC5B64" w:rsidRDefault="00F85013">
      <w:pPr>
        <w:spacing w:after="240" w:line="276" w:lineRule="auto"/>
      </w:pPr>
      <w:r>
        <w:rPr>
          <w:b/>
          <w:bCs/>
        </w:rPr>
        <w:t>a) Auto-hospedaje:</w:t>
      </w:r>
      <w: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668F06C1" w14:textId="77777777" w:rsidR="00FF11D0" w:rsidRDefault="001E7637">
      <w:pPr>
        <w:spacing w:after="240" w:line="276" w:lineRule="auto"/>
      </w:pPr>
      <w:r>
        <w:rPr>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condicional, una petición HTTP—, lo que favorece el mantenimiento (Pressman, 2010). Agregar una red o una regla de compliance </w:t>
      </w:r>
      <w:r>
        <w:lastRenderedPageBreak/>
        <w:t>se concentra en los nodos de la rama afectada, aunque exige editar el workflow único que los contiene (§5.1.3).</w:t>
      </w:r>
    </w:p>
    <w:p w14:paraId="4535DF3A" w14:textId="77777777" w:rsidR="00FC5B64" w:rsidRDefault="00F85013">
      <w:pPr>
        <w:spacing w:after="240" w:line="276" w:lineRule="auto"/>
      </w:pPr>
      <w:r>
        <w:rPr>
          <w:b/>
        </w:rPr>
        <w:t>c) Extensibilidad:</w:t>
      </w:r>
      <w: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1869A720" w14:textId="77777777" w:rsidR="00FC5B64" w:rsidRDefault="00F85013">
      <w:pPr>
        <w:spacing w:after="240" w:line="276" w:lineRule="auto"/>
      </w:pPr>
      <w: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283D2C6D" w14:textId="77777777" w:rsidR="00FC5B64" w:rsidRDefault="00F85013">
      <w:pPr>
        <w:spacing w:after="240" w:line="276" w:lineRule="auto"/>
      </w:pPr>
      <w:r>
        <w:rPr>
          <w:b/>
          <w:bCs/>
        </w:rPr>
        <w:t>a) Interpretación visual:</w:t>
      </w:r>
      <w: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w:t>
      </w:r>
      <w:r>
        <w:lastRenderedPageBreak/>
        <w:t>fatiga de decisión tiene fallos de replicación relevantes, se lo invoca como motivación de diseño y no como un efecto medido.</w:t>
      </w:r>
    </w:p>
    <w:p w14:paraId="5BDC9FE6" w14:textId="77777777" w:rsidR="00FC5B64" w:rsidRDefault="00F85013">
      <w:pPr>
        <w:spacing w:after="240" w:line="276" w:lineRule="auto"/>
      </w:pPr>
      <w:r>
        <w:rPr>
          <w:b/>
          <w:bCs/>
        </w:rPr>
        <w:t>c) Copy anclado a la imagen:</w:t>
      </w:r>
      <w: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54D89827" w14:textId="77777777" w:rsidR="00FC5B64" w:rsidRDefault="00F85013">
      <w:pPr>
        <w:spacing w:after="240" w:line="276" w:lineRule="auto"/>
      </w:pPr>
      <w:r>
        <w:t>Una estrategia de integración se juzga por atributos de calidad (Bass et al., 2012). Para Postly pesan dos: la escalabilidad, para sumar módulos o redes, y la disponibilidad, para que la caída de un servicio externo no arrastre al resto.</w:t>
      </w:r>
    </w:p>
    <w:p w14:paraId="14520283" w14:textId="77777777" w:rsidR="00FC5B64" w:rsidRDefault="00F85013">
      <w:pPr>
        <w:spacing w:after="240" w:line="276" w:lineRule="auto"/>
      </w:pPr>
      <w: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289C68" w14:textId="77777777" w:rsidR="00FC5B64" w:rsidRDefault="00F85013">
      <w:pPr>
        <w:spacing w:after="240" w:line="276" w:lineRule="auto"/>
      </w:pPr>
      <w: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w:t>
      </w:r>
    </w:p>
    <w:p w14:paraId="62051E2B" w14:textId="77777777" w:rsidR="00FC5B64" w:rsidRDefault="00F85013">
      <w:pPr>
        <w:spacing w:after="240" w:line="276" w:lineRule="auto"/>
      </w:pPr>
      <w:r>
        <w:t>Un webhook es una URL pública, cifrada con TLS, en la que n8n espera los eventos: es la plataforma de origen la que avisa, en el momento en que ocurre la novedad.</w:t>
      </w:r>
    </w:p>
    <w:p w14:paraId="79633009" w14:textId="77777777" w:rsidR="00FC5B64" w:rsidRDefault="00F85013">
      <w:pPr>
        <w:spacing w:after="240" w:line="276" w:lineRule="auto"/>
      </w:pPr>
      <w:r>
        <w:t>Cuando la consultora envía una foto por Telegram, los servidores de Telegram hacen una petición POST a esa URL con un JSON que lleva el identificador del chat, la referencia al archivo y la marca de tiempo.</w:t>
      </w:r>
    </w:p>
    <w:p w14:paraId="6D36AFFE" w14:textId="77777777" w:rsidR="00FC5B64" w:rsidRDefault="00F85013">
      <w:pPr>
        <w:spacing w:after="240" w:line="276" w:lineRule="auto"/>
      </w:pPr>
      <w:r>
        <w:t xml:space="preserve">Esa petición es el disparador que inicia la ejecución del workflow. Lo que el webhook aporta es que el bot reaccione en cuanto llega el mensaje. La espera </w:t>
      </w:r>
      <w:r>
        <w:lastRenderedPageBreak/>
        <w:t>que queda es la del modelo: el Anexo E.5 la mide en 59,7 segundos de media y 143,1 de máximo entre la foto y los tres copys. HU12 fija 15 s para otra operación, la regeneración de copys, que tarda 31,2 s (Anexo E.7).</w:t>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(Anexo E.7, HU2). El token nunca es visible ni ingresado manualmente por la usuaria (Anexo B.3). OAuth 2.0 delega autorización; no provee no repudio ni autenticación del bot ante ella (§2.3).</w:t>
      </w:r>
    </w:p>
    <w:p w14:paraId="4063A168" w14:textId="77777777" w:rsidR="00FC5B64" w:rsidRDefault="00F85013">
      <w:pPr>
        <w:spacing w:after="240" w:line="276" w:lineRule="auto"/>
      </w:pPr>
      <w: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4933EAD2" w14:textId="77777777" w:rsidR="00FC5B64" w:rsidRDefault="00F85013">
      <w:pPr>
        <w:spacing w:after="240" w:line="276" w:lineRule="auto"/>
      </w:pPr>
      <w: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67C46489" w14:textId="77777777" w:rsidR="00FC5B64" w:rsidRDefault="00F85013">
      <w:pPr>
        <w:spacing w:after="240" w:line="276" w:lineRule="auto"/>
      </w:pPr>
      <w:r>
        <w:t>La consultora nunca le entrega su contraseña a Postly: autoriza el acceso en la página de Meta, y Postly recibe un token con permisos limitados. Eso no la protege de una página falsa de inicio de sesión (phishing), que puede capturar sus credenciales igual.</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de permisos limitados y revocables, nunca la contraseña de la usuaria, que no pasa por el sistema (Stallings, 2017).</w:t>
      </w:r>
    </w:p>
    <w:p w14:paraId="1FFA1D61" w14:textId="77777777" w:rsidR="00FC5B64" w:rsidRDefault="00F85013">
      <w:pPr>
        <w:numPr>
          <w:ilvl w:val="0"/>
          <w:numId w:val="28"/>
        </w:numPr>
        <w:spacing w:after="0" w:line="276" w:lineRule="auto"/>
      </w:pPr>
      <w:r>
        <w:rPr>
          <w:b/>
          <w:bCs/>
        </w:rPr>
        <w:t>Revocación:</w:t>
      </w:r>
      <w:r>
        <w:t xml:space="preserve"> la consultora puede revocar el acceso de Postly desde la configuración 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emitido para Postly, lo que permite saber qué aplicación publicó qué y cuándo.</w:t>
      </w:r>
    </w:p>
    <w:p w14:paraId="69595A20" w14:textId="77777777" w:rsidR="00FC5B64" w:rsidRDefault="00F85013">
      <w:pPr>
        <w:spacing w:after="240" w:line="276" w:lineRule="auto"/>
      </w:pPr>
      <w:r>
        <w:t>Es una aplicación del principio de defensa en profundidad (Cole et al., 2005): permisos delegados, acotados y revocables, además del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3F96C672" w14:textId="77777777" w:rsidR="00FC5B64" w:rsidRDefault="00F85013">
      <w:pPr>
        <w:spacing w:after="240" w:line="276" w:lineRule="auto"/>
      </w:pPr>
      <w:r>
        <w:lastRenderedPageBreak/>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647D0E5" w14:textId="77777777" w:rsidR="00FC5B64" w:rsidRDefault="00F85013">
      <w:pPr>
        <w:spacing w:after="240" w:line="276" w:lineRule="auto"/>
      </w:pPr>
      <w:r>
        <w:t>Los controles se ubican antes de cualquier llamada de publicación a Meta y verifican cada activo y cada texto contra las directrices de la compañía (Mary Kay Inc., s.f.; Anexo D).</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Por eso este trabajo usa dos términos: «mensaje comercial» es lo que la norma regula, y «referencia monetaria», lo que el módulo audita, que es una parte de aquél.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2D2A46A" w14:textId="77777777" w:rsidR="007F0EF5" w:rsidRDefault="001E7637">
      <w:pPr>
        <w:spacing w:after="240" w:line="276" w:lineRule="auto"/>
      </w:pPr>
      <w: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a la cifra («ARS 4500») no se detecta (§6.1). El conjunto completo está en el Anexo B.4. Una coincidencia interrumpe la publicación y le pide a la usuaria que corrija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71D8E765" w14:textId="77777777" w:rsidR="00FC5B64" w:rsidRDefault="00F85013">
      <w:pPr>
        <w:spacing w:after="240" w:line="276" w:lineRule="auto"/>
      </w:pPr>
      <w:r>
        <w:t>Postly la agrega en código: después de la elección de la usuaria, un nodo concatena de forma incondicional la firma y el dato de contacto al final del texto, y la misma firma, guardada en la hoja de configuración, se aplica en las dos redes. La línea de contacto, que se concatena igual,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 xml:space="preserve">La tercera restricción es de propiedad intelectual. Las Pautas no fijan un estándar estético: piden que las imágenes con copyright de la Compañía se </w:t>
      </w:r>
      <w:r>
        <w:lastRenderedPageBreak/>
        <w:t>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6CDE1B29" w14:textId="77777777" w:rsidR="00FC5B64" w:rsidRDefault="00F85013">
      <w:pPr>
        <w:spacing w:before="240" w:after="240" w:line="240" w:lineRule="auto"/>
      </w:pPr>
      <w:r>
        <w:lastRenderedPageBreak/>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Baskerville et al. (2026) retienen esa distinción y proponen sobre ella MEDS, un método de cuatro pasos para que la evaluación en DSR sea eficiente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304691A7" w14:textId="77777777" w:rsidR="00FC5B64" w:rsidRDefault="00F85013">
      <w:pPr>
        <w:spacing w:after="240" w:line="276" w:lineRule="auto"/>
      </w:pPr>
      <w:r>
        <w:lastRenderedPageBreak/>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realizó un estudio documentado de las arquitecturas, las restricciones técnicas (Rate Limits, formatos admitidos) y los términos de servicio (ToS) de las plataformas de destino, la API Graph de Instagram y </w:t>
      </w:r>
      <w:r>
        <w:lastRenderedPageBreak/>
        <w:t>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2E222710" w14:textId="77777777" w:rsidR="00FC5B64" w:rsidRDefault="00F85013">
      <w:pPr>
        <w:spacing w:after="240" w:line="276" w:lineRule="auto"/>
      </w:pPr>
      <w: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ED24AF6" w14:textId="77777777" w:rsidR="00FC5B64" w:rsidRDefault="00F85013">
      <w:pPr>
        <w:spacing w:after="240" w:line="276" w:lineRule="auto"/>
      </w:pPr>
      <w:r>
        <w:t>Las pruebas se organizaron en cuatro baterías técnicas, cuyos resultados reúne el Anexo E.5. La auditoría del módulo de compliance corre aparte, con su propio harness, y se reporta en el §6.1 (Anexo E.4).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Verificación de latencia y consistencia en la comunicación bidireccional entre la interfaz conversacional de Telegram y la API de </w:t>
      </w:r>
      <w:r w:rsidR="004C24AB">
        <w:t>Gemini 2.5 Flash</w:t>
      </w:r>
      <w:r>
        <w:t xml:space="preserve">, asegurando la correcta extracción de formato JSON para la generación de </w:t>
      </w:r>
      <w:r>
        <w:rPr>
          <w:i/>
          <w:iCs/>
        </w:rPr>
        <w:t>copywriting</w:t>
      </w:r>
      <w:r>
        <w:t>.</w:t>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al disparador de Telegram. Se incorporó después del diseño original de las baterías, porque mide el umbral de respuesta de HU1.</w:t>
      </w:r>
    </w:p>
    <w:p w14:paraId="11418236" w14:textId="77777777" w:rsidR="00FC5B64" w:rsidRDefault="00F85013">
      <w:pPr>
        <w:numPr>
          <w:ilvl w:val="0"/>
          <w:numId w:val="6"/>
        </w:numPr>
        <w:spacing w:after="0" w:line="276" w:lineRule="auto"/>
      </w:pPr>
      <w:r>
        <w:rPr>
          <w:b/>
          <w:bCs/>
        </w:rPr>
        <w:t>Procesamiento multimedia:</w:t>
      </w:r>
      <w:r>
        <w:rPr>
          <w:bCs/>
        </w:rPr>
        <w:t xml:space="preserve"> normalización de un clip de video con los filtros de FFmpeg del backend, midiendo la memoria residente (RAM) del proceso. Es una sola normalización, sin concurrencia (Anexo E.5, n = 1): caracteriza el consumo de ese proceso, no el comportamiento del sistema bajo carga.</w:t>
      </w:r>
      <w:r>
        <w:t xml:space="preserve"> La imagen no atraviesa FFmpeg (§4.4.2), de modo que no entra en esta batería.</w:t>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compliance</w:t>
      </w:r>
      <w:r>
        <w:rPr>
          <w:b/>
          <w:bCs/>
        </w:rPr>
        <w:t>:</w:t>
      </w:r>
      <w: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705FAD6C" w14:textId="77777777" w:rsidR="00FC5B64" w:rsidRDefault="00F85013">
      <w:pPr>
        <w:numPr>
          <w:ilvl w:val="0"/>
          <w:numId w:val="6"/>
        </w:numPr>
        <w:spacing w:after="240" w:line="276" w:lineRule="auto"/>
      </w:pPr>
      <w:r>
        <w:rPr>
          <w:b/>
          <w:bCs/>
        </w:rPr>
        <w:t>Validación de transacciones OAuth 2.0:</w:t>
      </w:r>
      <w:r>
        <w:rPr>
          <w:bCs/>
        </w:rPr>
        <w:t xml:space="preserve"> comprobación del canje del código de autorización por un token de larga duración y de su </w:t>
      </w:r>
      <w:r>
        <w:rPr>
          <w:bCs/>
        </w:rPr>
        <w:lastRenderedPageBreak/>
        <w:t>persistencia cifrada. El diseño preveía testear además algoritmos de refresco automático; no se implementaron, de modo que esa parte del instrumento no se ejecutó (§6.2, §8.1).</w:t>
      </w:r>
    </w:p>
    <w:p w14:paraId="218CF0E9" w14:textId="77777777" w:rsidR="00FC5B64" w:rsidRDefault="00F85013">
      <w:pPr>
        <w:spacing w:after="240" w:line="276" w:lineRule="auto"/>
      </w:pPr>
      <w:r>
        <w:t xml:space="preserve">Los instrumentos técnicos y de </w:t>
      </w:r>
      <w:r>
        <w:rPr>
          <w:i/>
          <w:iCs/>
        </w:rPr>
        <w:t>debugging</w:t>
      </w:r>
      <w:r>
        <w:t xml:space="preserve"> utilizados para materializar esta validación incluyeron:</w:t>
      </w:r>
    </w:p>
    <w:p w14:paraId="3702EB0B" w14:textId="77777777" w:rsidR="00FC5B64" w:rsidRDefault="00F85013">
      <w:pPr>
        <w:numPr>
          <w:ilvl w:val="0"/>
          <w:numId w:val="18"/>
        </w:numPr>
        <w:spacing w:after="0" w:line="276" w:lineRule="auto"/>
      </w:pPr>
      <w:r>
        <w:rPr>
          <w:b/>
          <w:bCs/>
        </w:rPr>
        <w:t>Registros de ejecución y telemetría (</w:t>
      </w:r>
      <w:r>
        <w:rPr>
          <w:b/>
          <w:bCs/>
          <w:i/>
          <w:iCs/>
        </w:rPr>
        <w:t>System Logs</w:t>
      </w:r>
      <w:r>
        <w:rPr>
          <w:b/>
          <w:bCs/>
        </w:rPr>
        <w:t>):</w:t>
      </w:r>
      <w:r>
        <w:t xml:space="preserve"> Extracción y análisis de las trazas de ejecución en la consola de n8n para auditar el comportamiento paso a paso de los nodos lógicos, medir tiempos de respuesta y detectar excepciones no controladas (</w:t>
      </w:r>
      <w:r>
        <w:rPr>
          <w:i/>
          <w:iCs/>
        </w:rPr>
        <w:t>Unhandled Exceptions</w:t>
      </w:r>
      <w:r>
        <w:t>).</w:t>
      </w:r>
    </w:p>
    <w:p w14:paraId="05FFDB05" w14:textId="77777777" w:rsidR="00FC5B64" w:rsidRDefault="00F85013">
      <w:pPr>
        <w:numPr>
          <w:ilvl w:val="0"/>
          <w:numId w:val="18"/>
        </w:numPr>
        <w:spacing w:after="0" w:line="276" w:lineRule="auto"/>
      </w:pPr>
      <w:r>
        <w:rPr>
          <w:b/>
          <w:bCs/>
        </w:rPr>
        <w:t>Matrices de Casos de Uso:</w:t>
      </w:r>
      <w:r>
        <w:rPr>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en producción ni una serie de ventas que permita medir el impacto comercial del sistema (protocolo en el Anexo E, resultados en el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lastRenderedPageBreak/>
        <w:t>Con ellos, las tres variables del §3.5.4 cuentan con medición. Lo que resta es ampliar la muestra más allá de la escala piloto (§8.2).</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w:t>
      </w:r>
      <w:r>
        <w:lastRenderedPageBreak/>
        <w:t>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una segunda recolección de material gráfico, de la que sale el caso real R01. El objetivo no es la generalización estadística, sino evaluar el comportamiento del sistema y la fricción de uso en contextos reales (Hernández Sampieri et al., 2014).</w:t>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por ser la convención más extendida en el área, y el §6.1.6 agrega la medida que ellos recomiendan, la probabilidad de superioridad pareada, junto con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Para dar cumplimiento a la fase de Evaluación del marco DSRM (Peffers et al., 2007) declarada en el §3.2, se operacionalizan a continuación las variables mencionadas en el §3.5.3:</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Umbral, contraste y tramo se fijaron en el protocolo de la ampliación antes de la primera sesión (Anexo E.4). La regla que define el tiempo de Postly, el mayor entre el cronómetro y el intervalo del motor, no estaba en el protocolo: se adoptó al ver los datos, cuando el cronómetro resultó subregistrar la espera por el modelo. Esa regla produce por construcción una cota, y por eso el §6.1.6 acompaña el contraste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proponen, según su resumen, un marco de fiabilidad para la Design Science Research que distingue qué se evalúa —el artefacto, los métodos, las medidas y el conocimiento de diseño— y cuándo; las amenazas que siguen se declaran para el artefacto y para las mediciones:</w:t>
      </w:r>
    </w:p>
    <w:p w14:paraId="57C7282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el del constructo que el módulo declara auditar: la referencia monetaria —precio, descuento u oferta— en canal público, aun sin cifra. Es una parte de la regla de mensaje comercial del Anexo D, y con él ambos casos quedan etiquetados como infractores. La corrección empeora las métricas reportadas en el §6.1 y se aplica igualmente.</w:t>
      </w:r>
    </w:p>
    <w:p w14:paraId="0E5BCAF7" w14:textId="77777777" w:rsidR="00F91B8C" w:rsidRDefault="00F85013">
      <w:r>
        <w:t>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Y se suma una última, sobre el constructo de la comparación: la condición manual incluye adaptar la imagen al formato de feed y con Postly esa tarea no le corresponde a la usuaria. La ampliación registró esa duración como un tramo separado, de modo que la amenaza queda medida y no sólo declarada.</w:t>
      </w:r>
    </w:p>
    <w:p w14:paraId="7286300E" w14:textId="77777777" w:rsidR="002D7F2C" w:rsidRDefault="00F72315">
      <w:r>
        <w:t xml:space="preserve">Arrastre en el Estudio 4: en las cuatro participantes con secuencia Postly primero, el copy manual de cada publicación se redactó después de ver los tres copys del sistema para el mismo producto, y el Estudio 4 compara justamente esos textos. El diseño contrabalanceado reparte el orden entre participantes, </w:t>
      </w:r>
      <w:r>
        <w:lastRenderedPageBreak/>
        <w:t>pero cada participante tiene un solo orden, de modo que el arrastre no queda neutralizado dentro de ella. El Anexo E.14.2 lo mide por secuencia y no encuentra que acerque el copy manual al de Postly, con la salvedad de que son cuatro participantes por secuencia.</w:t>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de modo que la mitigación que aportan tiene, para ese subconjunto, el límite que este mismo apartado declara.</w:t>
      </w:r>
    </w:p>
    <w:p w14:paraId="071A8F5B" w14:textId="77777777" w:rsidR="00D5338A" w:rsidRDefault="001E7637">
      <w:r>
        <w:t>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Persiste, como en el piloto, que se administra inmediatamente después de la sesión de uso, y que tres de las participantes tienen relación previa con los autores.</w:t>
      </w:r>
    </w:p>
    <w:p w14:paraId="20FA378E" w14:textId="77777777" w:rsidR="00FF53C9" w:rsidRDefault="001E7637">
      <w:r>
        <w:t xml:space="preserve">Asimetría de cuentas de publicación: en la ampliación, la condición manual publicó en la cuenta real de cada participante y la condición Postly, en la cuenta de prueba del equipo. La razón es que el sistema aún no tenía </w:t>
      </w:r>
      <w:r>
        <w:lastRenderedPageBreak/>
        <w:t>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La comparación a ciegas del Estudio 4 tampoco se ve afectada, porque el evaluador juzga el texto del copy o el orden de las imágenes, y nunca una captura de la cuenta de destino.</w:t>
      </w:r>
    </w:p>
    <w:p w14:paraId="3A31FD7B"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una segunda recolección de material gráfico, de la que sale el caso real R01.</w:t>
      </w:r>
    </w:p>
    <w:p w14:paraId="2AD628AF"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del Anexo E.5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74E3829C"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El modelo de datos del §5.1.1 muestra lo que el sistema persiste en su base de datos, que no es todo lo que </w:t>
      </w:r>
      <w:r>
        <w:lastRenderedPageBreak/>
        <w:t>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584D193E" w14:textId="77777777" w:rsidR="001A1474" w:rsidRDefault="001E7637">
      <w:pPr>
        <w:spacing w:before="240" w:after="240"/>
      </w:pPr>
      <w:r>
        <w:t>Fuera de esas dos hojas, el despliegue almacena cinco cosas más, y declararlas es parte del principio. La hoja Config guarda la firma y el contacto de la consultora.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Y los activos multimedia de las usuarias —las imágenes y los videos— se alojan en Cloudinary, que es infraestructura de un tercero. La imagen única se sube antes de la auditoría visual, de modo que una imagen que el módulo bloquea por traer un precio queda igualmente alojada allí: el sistema no la borra.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 xml:space="preserve">La génesis del sistema incorpora, por diseño, un módulo centinela de </w:t>
      </w:r>
      <w:r>
        <w:rPr>
          <w:i/>
          <w:iCs/>
        </w:rPr>
        <w:t>compliance de la marca</w:t>
      </w:r>
      <w: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lastRenderedPageBreak/>
        <w:t>condiciones que el sistema debe cumplir para darla por terminada. Donde un criterio fija un umbral, el umbral se conserva como se redactó antes de medir, y el Anexo E.7 registra si se verificó. Los umbrales numéricos se incorporaron al documento después de su versión del 1 de agosto de 2026, que varios los expresaba sin cifra («latencia mínima»), y antes de las mediciones de septiembre que los contrastan.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—en E1, el servidor dado de baja; hoy, en la instancia local E2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la imagen bloqueada queda alojada en Cloudinary. Si cualquiera de las dos auditorías detecta un precio se le avisa a la usuaria. El flujo de video agrega una tercera respuesta, avisar sin bloquear, cuando el recorte a 9:16 elimina el precio (§4.3.1), y sube el video después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lastRenderedPageBreak/>
        <w:t>de las Pautas, que alcanza también a la solicitud de compra sin cifra (Capítulo 7). Los casos de texto los ejecutó el script run_compliance_text.mjs, que transcribe verbatim las seis expresiones del nodo desplegado y registra el veredicto y la expresión que disparó cada bloqueo.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w:t>
      </w:r>
    </w:p>
    <w:p w14:paraId="6862C91A" w14:textId="77777777" w:rsidR="00FF11D0" w:rsidRDefault="001E7637">
      <w: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Casos_Compliance_Representativo_resultados_v1.csv (Anexo E.1).</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lastRenderedPageBreak/>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en Casos_Compliance_resultados_v1.csv (Anexo E.1).</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El script sensibilidad_tiempo_omitido.mjs, que está en el repositorio del proyecto (avance/instrumentos/), reproduce estas cifras desde la planilla del Anexo E.2, y run_cronometraje_v2.mjs reporta los contrastes anteriores y la cuenta con el cronómetro sin corregir.</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Hay además una limitación del diseño de datos. La hoja Config guarda una sola firma y un solo contacto, sin clave de usuaria (§3.7.1): con más de una consultora vinculada, todas publicarían la misma línea. La multitenencia del sistema alcanza a las credenciales y a las publicaciones, y no a esa configuración.</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lastRenderedPageBreak/>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lastRenderedPageBreak/>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guardarla por usuaria y no en la hoja de una sola fila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w:t>
      </w:r>
      <w:r>
        <w:lastRenderedPageBreak/>
        <w:t>principio de minimización que el sistema declara y lo que el despliegue efectivamente almacena, y se cierra con configuración y no con desarrollo.</w:t>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(PROTOCOLO-ampliacion.md y PROTOCOLO-OE2.md),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t>
      </w:r>
      <w:r w:rsidRPr="006234D4">
        <w:lastRenderedPageBreak/>
        <w:t>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lastRenderedPageBreak/>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lastRenderedPageBreak/>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lastRenderedPageBreak/>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lastRenderedPageBreak/>
        <w:t>5, 5, 1, 2, 5, 3, 3 y 2. C8, 5, 5, 5, 1, 5, 5, 1, 5, 5, 5, 1 y 2. run_tam_v2.mjs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—PROTOCOLO-ampliacion.md, PROTOCOLO-OE2.md y Protocolo_TrackA2_Muestras.md— son públicos en el repositorio del proyecto (https://github.com/NicolasHassanP/Postly), los dos primeros en avance/instrumentos/ y el tercero en avance/.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 xml:space="preserve">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w:t>
      </w:r>
      <w:r>
        <w:lastRenderedPageBreak/>
        <w:t>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con el conmutador --extraer desde un workflow exportado. Ese workflow </w:t>
      </w:r>
      <w:r>
        <w:lastRenderedPageBreak/>
        <w:t>no acompaña al material complementario, pero sí está en el repositorio público del proyecto (workflows/Postly - Entrega Final Sprint 1 v2.json), de modo que un lector puede reproducir la comparación y regenerar el extracto desde allí. La cadena se acorta sin cerrarse: falta la prueba de que el archivo exportado es el que corría.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lastRenderedPageBreak/>
        <w:t>persiste el token obtenido. Archivo de resultados: Baterias_resultados.csv.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lastRenderedPageBreak/>
        <w:t>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lastRenderedPageBreak/>
              <w:t>dos evaluadores externos (Anexo E.14): favorable en los tres, sin significancia estadística en el orden, ni frente al manual (p = 0,125) ni frente al envío original (p = 0,289)</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137DD715" w14:textId="77777777" w:rsidR="00FF53C9" w:rsidRDefault="001E7637">
      <w: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 (run_oe2.mjs).</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(estudio4_por_secuencia.mjs, en el repositorio del proyecto).</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Estudio 3 de PROTOCOLO-OE2.md declara de antemano.</w:t>
      </w:r>
    </w:p>
    <w:p w14:paraId="7BAE9F00" w14:textId="77777777" w:rsidR="00FF53C9" w:rsidRDefault="001E7637">
      <w: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