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475EA899"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76,7 % del tiempo operativo (DE 3,9), significativamente por encima del umbral del 70 % (t(7) = 4,90; p &lt; 0,001; IC 95 % [73,5 %; 79,9 %]). El tiempo de Postly se concilió con el historial de ejecuciones del sistema.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1576E0E2"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(Davis, 1989).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análisis de su flujo de trabajo —observado en emprendedoras de Mendoza— muestra que asume a la vez cuatro roles: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(Russell y Norvig, 2010),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o programada en Instagram y Facebook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seis tienen lectura completa registrada: Das et al. (2026), Wang et al. (2026), Warner et al. (2025), Barrientos et al. (2026), Cimino et al. (2026) y Rezazadeh et al. (2025). Las otras 23 se citan a partir del resumen y de los apartados consultados, sin lectura completa registrada.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lastRenderedPageBreak/>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y encuentran un desempeño competitivo con el etiquetado humano en las categorías bien definidas.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(Davis, 1989). Sus asistentes de IA, basados sobre todo en la API de OpenAI, son en su mayoría textuales y genéricos: no ven la fotografía del producto ni ordenan un carrusel. La excepción es Later, que la Tabla 1 marca «Parcial» en esa columna, con las limitaciones que define la nota de la tabla.</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Parcial</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No hay regla de proximidad entre cifra y palabra, y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Por su etapa es propositiva y pre-experimental: no hay un ensayo con una muestra probabilística en producción, sino pruebas técnicas controladas y una evaluación de campo intencional.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como mínimo, rechazadas (Error 403 Forbidden).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(conjeturada)</w:t>
            </w:r>
          </w:p>
        </w:tc>
        <w:tc>
          <w:tcPr>
            <w:tcW w:w="2126" w:type="dxa"/>
          </w:tcPr>
          <w:p w14:paraId="71DE45FF" w14:textId="77777777" w:rsidR="00F91B8C" w:rsidRPr="00003BC6" w:rsidRDefault="00F85013">
            <w:pPr>
              <w:rPr>
                <w:lang w:val="es-ES"/>
              </w:rPr>
            </w:pPr>
            <w:r w:rsidRPr="00003BC6">
              <w:rPr>
                <w:sz w:val="18"/>
                <w:lang w:val="es-ES"/>
              </w:rPr>
              <w:t>No evaluado (el §3.3.3 declara el escenario conjeturado)</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6109916B"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corporativa.</w:t>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pares). La ampliación posterior lo escaló a 8 consultoras y 32 pares.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549D2B41"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 xml:space="preserve">El backend debe realizar la consulta asincrónica a la base de datos en menos de 2 segundos, dentro del límite de 60 segundos </w:t>
      </w:r>
      <w:r>
        <w:rPr>
          <w:rFonts w:ascii="Arial" w:hAnsi="Arial"/>
        </w:rPr>
        <w:lastRenderedPageBreak/>
        <w:t>que Telegram tolera antes de invalidar el webhook por timeout del lado del cliente.</w:t>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1 (Figura 5) y se sincroniza también leyendo Instagram (Anexo B.8).</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cuatro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(RFC 6749),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FDFFD3D" w14:textId="77777777" w:rsidR="009A77A9" w:rsidRDefault="001E7637">
      <w:pPr>
        <w:jc w:val="center"/>
      </w:pPr>
      <w:r>
        <w:rPr>
          <w:i/>
          <w:sz w:val="20"/>
        </w:rPr>
        <w:t>Nota. Fuente: elaboración propia.</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para que los nodos resulten legibles.</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autorizada y segura.</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El sistema actualiza el estado en la hoja de cálculo como "Fallido" y notifica a la usuaria con un diagnóstico legible para que pueda reintentar la acción de subida sin perder la caché del contenido ya generado por la IA.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los intercambios de token de HU2 y de HU12, que salen de la Tabla 11.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lastRenderedPageBreak/>
        <w:t>Entre los verificados por configuración están los dos que gobiernan las reglas del módulo: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Los dos de mayor impacto sobre la arquitectura fueron:</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(RFC 6749)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00CA9C38"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84499"/>
      <w:r>
        <w:rPr>
          <w:rFonts w:ascii="Arial" w:eastAsia="Arial" w:hAnsi="Arial" w:cs="Arial"/>
        </w:rPr>
        <w:t>6.3 Estado del Proyecto y Trabajo Futuro</w:t>
      </w:r>
      <w:bookmarkEnd w:id="204"/>
      <w:bookmarkEnd w:id="205"/>
    </w:p>
    <w:p w14:paraId="77D7B9ED" w14:textId="77777777" w:rsidR="004C24AB" w:rsidRDefault="00F85013" w:rsidP="004C24AB">
      <w:pPr>
        <w:spacing w:before="240" w:after="240" w:line="276" w:lineRule="auto"/>
        <w:rPr>
          <w:rFonts w:ascii="Arial" w:eastAsia="Arial" w:hAnsi="Arial" w:cs="Arial"/>
        </w:rPr>
      </w:pPr>
      <w:r>
        <w:rPr>
          <w:rFonts w:ascii="Arial" w:hAnsi="Arial"/>
        </w:rPr>
        <w:t>Postly se concibe como un proyecto en iteración continua y no como un producto estático. Al cierre de este informe es un MVP con las 14 Historias de Usuario implementadas y recorridas de extremo a extremo sobre el entorno E1, dado de baja el 14 de septiembre de 2026. El sistema no tiene hoy un despliegue permanente, y las mediciones del §6.1 corrieron después, sobre E2, una instancia local expuesta por túnel (Anexo B.1). La validación con usuarias ya se ejecutó, en un piloto y en una ampliación. El trabajo futuro apunta a ampliar esa muestra, extender el sistema a otras plataformas y refinar la detección de compliance (§8.2).</w:t>
      </w: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lastRenderedPageBreak/>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Esa combinación —artefacto desplegado, evaluación con usuarias reales y costo operativo declarado— es la que este trabajo adopta, con una muestra menor.</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registra sobre-bloqueos (Precisión 1,00).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§4.4.3.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cuatro.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Y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veintitrés, y hasta el 19 de septiembre de 2026 el </w:t>
      </w:r>
      <w:r>
        <w:rPr>
          <w:rFonts w:ascii="Arial" w:hAnsi="Arial"/>
        </w:rPr>
        <w:lastRenderedPageBreak/>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veintitrés mensajes comerciales del corpus (§6.1.3)— ni a las materias que el módulo no audita, y el propio sistema modifica material de la marca al recortar el video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cada resultado es un juicio experto descriptivo y no una estimación con intervalo.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(RFC 6749)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El intervalo de confianza de la reducción se estrechó de ± 17,2 a ± 3,2 puntos porcentuales, más de lo proyectado (± 5,8), porque el efecto resultó mayor y menos variable que en el piloto. Para contrastar el umbral del 70 % con una potencia del 80 % sobre un efecto del tamaño del piloto, el diseño original había calculado unas 24 participantes. El acceso del equipo a consultoras fuera de su círculo se agotó en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xml:space="preserve">. </w:t>
      </w:r>
      <w:r w:rsidRPr="006C55E3">
        <w:rPr>
          <w:rFonts w:ascii="Arial" w:hAnsi="Arial"/>
          <w:lang w:val="es-AR"/>
        </w:rPr>
        <w:t>Preimpresión: https://doi.org/10.48550/arXiv.2309.17288</w:t>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1B778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lastRenderedPageBreak/>
        <w:t>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lastRenderedPageBreak/>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lastRenderedPageBreak/>
        <w:t>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lastRenderedPageBreak/>
        <w:t>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lastRenderedPageBreak/>
        <w:t>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