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 xml:space="preserve">Índice de contenidos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\o "1-3" \h \z \u </w:instrText>
      </w:r>
      <w:r>
        <w:fldChar w:fldCharType="separate"/>
      </w:r>
      <w:r>
        <w:t xml:space="preserve">Actualizá los campos del documento (Ctrl+E, F9) para generar este índice.</w:t>
      </w:r>
      <w:r>
        <w:fldChar w:fldCharType="end"/>
      </w:r>
    </w:p>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w:t>
      </w:r>
      <w:r>
        <w:rPr>
          <w:rFonts w:ascii="Arial" w:eastAsia="Arial" w:hAnsi="Arial" w:cs="Arial"/>
        </w:rPr>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t>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t>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w:t>
      </w:r>
      <w:r>
        <w:rPr>
          <w:rFonts w:ascii="Arial" w:hAnsi="Arial"/>
        </w:rPr>
        <w:t xml:space="preserve">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w:t>
      </w:r>
      <w:r>
        <w:rPr>
          <w:rFonts w:ascii="Arial" w:eastAsia="Arial" w:hAnsi="Arial" w:cs="Arial"/>
          <w:i/>
          <w:iCs/>
        </w:rPr>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w:t>
      </w:r>
      <w:r>
        <w:rPr>
          <w:rFonts w:ascii="Arial" w:eastAsia="Arial" w:hAnsi="Arial" w:cs="Arial"/>
          <w:i/>
          <w:iCs/>
        </w:rPr>
      </w:r>
      <w:r>
        <w:rPr>
          <w:rFonts w:ascii="Arial" w:eastAsia="Arial" w:hAnsi="Arial" w:cs="Arial"/>
        </w:rPr>
        <w:t xml:space="preserve">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t>autorizado o forzar la inyección de una firma legal ("Consultora de Belleza Independiente") antes de enviarlo a la API de Meta. Esta carencia deja a la consultora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t>fragmentados —como la curaduría, edición, auditoría legal y posteo de contenidos— se integren en un ecosistema digital cohesivo, predecible, auditable y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t>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y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r>
        <w:rPr>
          <w:rFonts w:ascii="Arial" w:hAnsi="Arial"/>
        </w:rPr>
      </w:r>
    </w:p>
    <w:p w14:paraId="1A06F998"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r>
        <w:rPr>
          <w:rFonts w:ascii="Arial" w:hAnsi="Arial"/>
        </w:rPr>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w:t>
      </w:r>
      <w:r>
        <w:rPr>
          <w:rFonts w:ascii="Arial" w:eastAsia="Arial" w:hAnsi="Arial" w:cs="Arial"/>
          <w:i/>
          <w:iCs/>
        </w:rPr>
      </w:r>
      <w:r>
        <w:rPr>
          <w:rFonts w:ascii="Arial" w:eastAsia="Arial" w:hAnsi="Arial" w:cs="Arial"/>
        </w:rPr>
        <w:t>.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w:t>
      </w:r>
      <w:r>
        <w:rPr>
          <w:rFonts w:ascii="Arial" w:eastAsia="Arial" w:hAnsi="Arial" w:cs="Arial"/>
          <w:i/>
          <w:iCs/>
        </w:rPr>
      </w:r>
      <w:r>
        <w:rPr>
          <w:rFonts w:ascii="Arial" w:eastAsia="Arial" w:hAnsi="Arial" w:cs="Arial"/>
        </w:rPr>
        <w:t xml:space="preserve">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w:t>
      </w:r>
      <w:r>
        <w:rPr>
          <w:rFonts w:ascii="Arial" w:hAnsi="Arial"/>
        </w:rPr>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con sanciones contractuales, equidad competitiva y ética corporativa diseñado para proteger la integridad del capital de marca a escala global (Peterson y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t>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t>sistema ejecuta una rutina de concatenación de cadenas de texto (string concatenation). Esa rutina adjunta de forma incondicional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w:t>
      </w:r>
      <w:r>
        <w:rPr>
          <w:rFonts w:ascii="Arial" w:eastAsia="Arial" w:hAnsi="Arial" w:cs="Arial"/>
        </w:rPr>
        <w:t>,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y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Para materializar el alcance definido y gestionar la complejidad computacional del sistema, el ciclo de vida del desarrollo de Postly se estructuró en cuatro Sprints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que concatena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pPr>
        <w:spacing w:after="240" w:line="276" w:lineRule="auto"/>
      </w:pPr>
      <w:r>
        <w:rPr>
          <w:rFonts w:ascii="Arial" w:eastAsia="Arial" w:hAnsi="Arial" w:cs="Arial"/>
          <w:b w:val="0"/>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con régimen sancionatorio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3.7.4 Auditoría de compliance y exposición de la consultora ante la normativa de la marca</w:t>
      </w:r>
      <w:r>
        <w:rPr>
          <w:rFonts w:ascii="Arial" w:eastAsia="Arial" w:hAnsi="Arial" w:cs="Arial"/>
          <w:i/>
          <w:iCs/>
        </w:rPr>
      </w:r>
      <w:r>
        <w:rPr>
          <w:rFonts w:ascii="Arial" w:eastAsia="Arial" w:hAnsi="Arial" w:cs="Arial"/>
        </w:rPr>
      </w:r>
      <w:bookmarkEnd w:id="57"/>
      <w:r>
        <w:rPr>
          <w:rFonts w:ascii="Arial" w:eastAsia="Arial" w:hAnsi="Arial" w:cs="Arial"/>
        </w:rPr>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w:t>
      </w:r>
      <w:r>
        <w:rPr>
          <w:rFonts w:ascii="Arial" w:eastAsia="Arial" w:hAnsi="Arial" w:cs="Arial"/>
          <w:b/>
          <w:bCs/>
        </w:rPr>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t>chat, hacia la página oficial y cifrada (HTTPS) de Meta. Aquí, la consultora concede permisos granulares (scopes) limitados a publicar</w:t>
      </w:r>
      <w:r>
        <w:rPr>
          <w:rFonts w:ascii="Arial" w:eastAsia="Arial" w:hAnsi="Arial" w:cs="Arial"/>
          <w:i/>
          <w:iCs/>
        </w:rPr>
      </w:r>
      <w:r>
        <w:rPr>
          <w:rFonts w:ascii="Arial" w:eastAsia="Arial" w:hAnsi="Arial" w:cs="Arial"/>
        </w:rPr>
        <w:t xml:space="preserve"> activos multimedia y leer métricas, adhiriéndose al Principio de Menor Privilegio (Saltzer y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w:t>
      </w:r>
      <w:r>
        <w:rPr>
          <w:rFonts w:ascii="Arial" w:eastAsia="Arial" w:hAnsi="Arial" w:cs="Arial"/>
          <w:i/>
          <w:iCs/>
        </w:rPr>
      </w:r>
      <w:r>
        <w:rPr>
          <w:rFonts w:ascii="Arial" w:eastAsia="Arial" w:hAnsi="Arial" w:cs="Arial"/>
        </w:rPr>
        <w:t xml:space="preserv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w:t>
      </w:r>
      <w:r>
        <w:rPr>
          <w:rFonts w:ascii="Arial" w:eastAsia="Arial" w:hAnsi="Arial" w:cs="Arial"/>
          <w:i/>
          <w:iCs/>
        </w:rPr>
      </w:r>
      <w:r>
        <w:rPr>
          <w:rFonts w:ascii="Arial" w:eastAsia="Arial" w:hAnsi="Arial" w:cs="Arial"/>
        </w:rPr>
        <w:t xml:space="preserve">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t>consultora, frente al flujo automatizado que el MVP propone (To-Be). En este último la intervención de la usuaria se reduce a tres acciones: enviar la foto al bot, elegir uno de los tres copys generados y confirmar la publicación.</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r>
        <w:rPr>
          <w:rFonts w:ascii="Arial" w:eastAsia="Arial" w:hAnsi="Arial" w:cs="Arial"/>
          <w:i/>
          <w:iCs/>
        </w:rPr>
      </w:r>
      <w:r>
        <w:rPr>
          <w:rFonts w:ascii="Arial" w:eastAsia="Arial" w:hAnsi="Arial" w:cs="Arial"/>
        </w:rPr>
        <w:t>:</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w:t>
      </w:r>
      <w:r>
        <w:rPr>
          <w:rFonts w:ascii="Arial" w:eastAsia="Arial" w:hAnsi="Arial" w:cs="Arial"/>
          <w:i/>
          <w:iCs/>
        </w:rPr>
      </w:r>
      <w:r>
        <w:rPr>
          <w:rFonts w:ascii="Arial" w:eastAsia="Arial" w:hAnsi="Arial" w:cs="Arial"/>
        </w:rPr>
        <w:t xml:space="preserve">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w:t>
      </w:r>
      <w:r>
        <w:rPr>
          <w:rFonts w:ascii="Arial" w:eastAsia="Arial" w:hAnsi="Arial" w:cs="Arial"/>
          <w:i/>
          <w:iCs/>
        </w:rPr>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b/>
          <w:bCs/>
          <w:i/>
          <w:iCs/>
        </w:rPr>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Un componente técnico exigente en el desarrollo del backend</w:t>
      </w:r>
      <w:r>
        <w:rPr>
          <w:rFonts w:ascii="Arial" w:eastAsia="Arial" w:hAnsi="Arial" w:cs="Arial"/>
          <w:i/>
          <w:iCs/>
        </w:rPr>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 w:val="0"/>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b w:val="0"/>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p>
    <w:p w14:paraId="37F5138B" w14:textId="77777777" w:rsidR="00FC5B64" w:rsidRDefault="00FC5B64">
      <w:pPr>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pPr/>
      <w:r>
        <w:rPr>
          <w:rFonts w:ascii="Arial" w:hAnsi="Arial"/>
          <w:b w:val="0"/>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w:t>
      </w:r>
      <w:r>
        <w:rPr>
          <w:rFonts w:ascii="Arial" w:hAnsi="Arial"/>
        </w:rPr>
        <w:t>,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t>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pPr>
        <w:spacing w:after="240" w:line="276" w:lineRule="auto"/>
        <w:numPr>
          <w:ilvl w:val="0"/>
          <w:numId w:val="2"/>
        </w:numPr>
      </w:pPr>
      <w:r>
        <w:rPr>
          <w:rFonts w:ascii="Arial" w:eastAsia="Arial" w:hAnsi="Arial" w:cs="Arial"/>
          <w:b w:val="0"/>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r>
        <w:rPr>
          <w:rFonts w:ascii="Arial" w:hAnsi="Arial"/>
        </w:rPr>
      </w:r>
    </w:p>
    <w:p>
      <w:pPr/>
      <w:r>
        <w:rPr>
          <w:rFonts w:ascii="Arial" w:hAnsi="Arial"/>
          <w:b w:val="0"/>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w:t>
      </w:r>
      <w:r>
        <w:rPr>
          <w:rFonts w:ascii="Arial" w:eastAsia="Arial" w:hAnsi="Arial" w:cs="Arial"/>
        </w:rPr>
        <w:t>,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4A149D">
        <w:rPr>
          <w:rFonts w:ascii="Arial" w:eastAsia="Arial" w:hAnsi="Arial" w:cs="Arial"/>
          <w:lang w:val="en-US"/>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pPr>
        <w:pStyle w:val="Heading3"/>
      </w:pPr>
      <w:r>
        <w:rPr>
          <w:rFonts w:ascii="Arial" w:hAnsi="Arial" w:cs="Arial"/>
          <w:b w:val="0"/>
        </w:rPr>
        <w:t>A.1 Cumplimiento de las Historias de Usuario</w:t>
      </w:r>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pPr>
        <w:pStyle w:val="Heading3"/>
      </w:pPr>
      <w:r>
        <w:rPr>
          <w:rFonts w:ascii="Arial" w:hAnsi="Arial" w:cs="Arial"/>
          <w:b w:val="0"/>
        </w:rPr>
        <w:t>A.2 Cronología del desarrollo reconstruida del repositorio</w:t>
      </w:r>
    </w:p>
    <w:p>
      <w:pPr/>
      <w:r>
        <w:rPr>
          <w:rFonts w:ascii="Arial" w:hAnsi="Arial" w:cs="Arial"/>
          <w:b w:val="0"/>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pPr/>
      <w:r>
        <w:rPr>
          <w:rFonts w:ascii="Arial" w:hAnsi="Arial" w:cs="Arial"/>
          <w:b w:val="0"/>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pPr/>
      <w:r>
        <w:rPr>
          <w:rFonts w:ascii="Arial" w:hAnsi="Arial" w:cs="Arial"/>
          <w:b w:val="0"/>
        </w:rPr>
        <w:t>26 de junio. HU9 (firma legal servida desde la base central), el cifrado AES-256-GCM del token, HU8 (detección visual de precios) y la primera etapa de HU5 (ingesta de carrusel y orden narrativo).</w:t>
      </w:r>
    </w:p>
    <w:p>
      <w:pPr/>
      <w:r>
        <w:rPr>
          <w:rFonts w:ascii="Arial" w:hAnsi="Arial" w:cs="Arial"/>
          <w:b w:val="0"/>
        </w:rPr>
        <w:t>27 y 28 de junio. Segunda etapa de HU5 —confirmar, reordenar, editar y publicar el carrusel— y su validación de extremo a extremo.</w:t>
      </w:r>
    </w:p>
    <w:p>
      <w:pPr/>
      <w:r>
        <w:rPr>
          <w:rFonts w:ascii="Arial" w:hAnsi="Arial" w:cs="Arial"/>
          <w:b w:val="0"/>
        </w:rPr>
        <w:t>29 y 30 de junio. Migración al servidor propio (Anexo B.1) y, ya sobre él, HU10 (programación a futuro, para imagen única y para carrusel) y HU14 (métricas de engagement).</w:t>
      </w:r>
    </w:p>
    <w:p>
      <w:pPr/>
      <w:r>
        <w:rPr>
          <w:rFonts w:ascii="Arial" w:hAnsi="Arial" w:cs="Arial"/>
          <w:b w:val="0"/>
        </w:rPr>
        <w:t>2 de julio. HU13 (normalización de video con FFmpeg y publicación como Reel), que completa las catorce.</w:t>
      </w:r>
    </w:p>
    <w:p>
      <w:pPr/>
      <w:r>
        <w:rPr>
          <w:rFonts w:ascii="Arial" w:hAnsi="Arial" w:cs="Arial"/>
          <w:b w:val="0"/>
        </w:rPr>
        <w:t>Del 14 al 18 de septiembre. Segunda etapa de trabajo, dedicada a la corrección del detector tras el análisis de valores límite y a la validación empírica que reporta el Capítulo 5.</w:t>
      </w:r>
    </w:p>
    <w:p>
      <w:pPr/>
      <w:r>
        <w:rPr>
          <w:rFonts w:ascii="Arial" w:hAnsi="Arial" w:cs="Arial"/>
          <w:b w:val="0"/>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r>
        <w:rPr>
          <w:rFonts w:ascii="Arial" w:hAnsi="Arial"/>
        </w:rPr>
      </w:r>
    </w:p>
    <w:p>
      <w:pPr>
        <w:jc w:val="both"/>
      </w:pPr>
      <w:r>
        <w:rPr>
          <w:rFonts w:ascii="Arial" w:hAnsi="Arial"/>
          <w:b w:val="0"/>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pPr>
        <w:jc w:val="both"/>
      </w:pPr>
      <w:r>
        <w:rPr>
          <w:rFonts w:ascii="Arial" w:hAnsi="Arial"/>
          <w:b w:val="0"/>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