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representa ese flujo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De ahí los dos términos de este trabajo: «mensaje comercial» es lo que la norma regula, y «referencia monetaria», la parte de aquél que el módulo audita. La fuente funda la regla en dos razones: los términos de uso de varias plataformas limitan el mensaje comercial en las páginas personales, y el consumidor responde mejor sin una solicitud comercial directa. Leerla como protección de la venta consultiva frente a la guerra de precios es una interpretación de los autores (Kotler y Keller, 2012), no un fundamento de la fuente.</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CDE1B29"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04691A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r w:rsidR="004C24AB"/>
      <w:r/>
      <w:r>
        <w:rPr>
          <w:i/>
          <w:iCs/>
        </w:rPr>
      </w:r>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1418236"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r>
        <w:rPr>
          <w:b/>
          <w:bCs/>
        </w:rPr>
      </w:r>
      <w:r/>
    </w:p>
    <w:p w14:paraId="705FAD6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r>
        <w:rPr>
          <w:bCs/>
        </w:rPr>
      </w:r>
    </w:p>
    <w:p w14:paraId="218CF0E9" w14:textId="77777777" w:rsidR="00FC5B64" w:rsidRDefault="00F85013">
      <w:pPr>
        <w:spacing w:after="240" w:line="276" w:lineRule="auto"/>
      </w:pPr>
      <w:r>
        <w:t>Se usaron además tres instrumentos de depuración:</w:t>
      </w:r>
      <w:r>
        <w:rPr>
          <w:i/>
          <w:iCs/>
        </w:rPr>
      </w:r>
      <w:r/>
    </w:p>
    <w:p w14:paraId="3702EB0B"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r>
        <w:rPr>
          <w:b/>
          <w:bCs/>
        </w:rPr>
      </w:r>
      <w:r/>
      <w:r>
        <w:rPr>
          <w:i/>
          <w:iCs/>
        </w:rPr>
      </w:r>
      <w:r/>
    </w:p>
    <w:p w14:paraId="05FFDB05"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ni una serie de ventas que permita medir el impacto comercial (Anexo E;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t>Con ellos, las tres variables del §3.5.4 cuentan con medición.</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Ninguno es la saturación teórica (Glaser y Strauss, 1967), que gobierna el muestreo de material narrativo: aquí las variables son un tiempo, una proporción y una escala Likert, cuyo campo libre completaron cuatro de las ocho participantes (Anexo E.3). El de la variable (a) es un criterio pragmático de disponibilidad declarado en el Anexo E —un mínimo de 3 consultoras con 3 publicaciones—, que el piloto cumplió (12 pares) y la ampliación escaló a 8 consultoras y 32 pares; el §6.1 reporta sólo la ampliación. El de la (b) lo fijan los conjuntos de casos (40, 40, 25, 20 y 9) y el corpus de campo (29), y el de la (c), las ocho participantes. Para muestras pequeñas y no normales como ésta, Kitchenham y Madeyski (2024) muestran que la probabilidad de superioridad sesga menos que la d de Cohen: el §6.1 informa la d por convención, y el §6.1.6 agrega la probabilidad de superioridad pareada y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Las variables de la fase de evaluación (§3.2) se operacionalizan así:</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Se mide el sistema entero, sin aislar la interfaz conversacional, con una prueba t unilateral contra el 70 % (H₀: reducción = 70 %), la participante como unidad de análisis y el tramo comparable, que descuenta del lado manual la adaptación de la imagen. Umbral, contraste y tramo se fijaron en el protocolo antes de la primera sesión (Anexo E.4). La regla que toma como tiempo de Postly el mayor entre el cronómetro y el intervalo del motor se adoptó al ver los datos, cuando el cronómetro resultó subregistrar la espera por el modelo; produce por construcción una cota, y el §6.1.6 la acompaña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7C72824"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0E5BCAF7" w14:textId="77777777" w:rsidR="00F91B8C" w:rsidRDefault="00F85013">
      <w:r>
        <w:t>Validez interna: la ampliación contrabalanceó el orden de las condiciones y no detectó efecto de orden ni de aprendizaje, aunque con n = 8 ninguno de los dos contrastes tiene potencia para ser concluyente. Las observaciones están anidadas en ocho participantes, de modo que el contraste se calcula sobre las medias por sujeto. Se suman las características de demanda: la condición manual es autoadministrada, y tres participantes tienen relación previa con los autores. El registro de reclutamiento las estratifica en «Ninguna» (n = 5), «Conocida» (n = 2) y «Familiar» (n = 1), y la reducción no difiere entre estratos (§6.1.6). Y la condición manual incluye adaptar la imagen al formato de feed, que con Postly no le corresponde a la usuaria: la ampliación registró ese tramo por separado, de modo que la amenaza queda medida.</w:t>
      </w:r>
    </w:p>
    <w:p w14:paraId="7286300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071A8F5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20FA378E"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r/>
    </w:p>
    <w:p w14:paraId="2AD628AF"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4E3829C"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Adhiriendo a la Privacidad desde el Diseño (Cavoukian, 2009), el sistema evita almacenar Información Personal Identificable (PII) que no sea necesaria para el flujo de publicación. La hoja Usuarios guarda el identificador que Telegram asigna a la conversación —clave primaria y filtro de multitenencia—, el identificador y el nombre de la página de Facebook, el de la cuenta de Instagram Business, la vigencia del token y el token, cifrado con AES-256-GCM (Anexo B.3). La hoja Config guarda la firma y el contacto de cada consultora, en una fila con su identificador, y una fila general para quien no tiene una propia (Anexo B.4). La de publicaciones guarda el copy, el estado, la fecha programada, las URIs de los activos y los identificadores de cada publicación en ambas redes. El identificador de la conversación es dato personal en cualquier marco de protección de datos, y se almacena porque es la dirección a la que responde el bot.</w:t>
      </w:r>
      <w:r/>
    </w:p>
    <w:p w14:paraId="584D193E"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del que salen la Tabla 13 y la conciliación de tiempos del Anexo E.2, se conserva en la máquina de los autores. El armado de un carrusel usa un archivo del servidor como buffer (Anexo B.5), y la deduplicación guarda identificadores de callback. Las imágenes y los videos se alojan en Cloudinary, un tercero, y se suben antes de la auditoría visual porque el modelo los lee por URL. Cuando el módulo bloquea una pieza por un precio, la borra en paralelo al aviso; un bloqueo por el texto no borra nada, porque la usuaria reintenta con las mismas imágenes. Lo subido antes del 1 de octubre de 2026 no se depuró. El principio, por lo tanto, no es que no haya otro dato personal, sino que no se recolecta ninguno ajeno al flujo; el historial, que durante su plazo guarda el update entero, es donde queda más expuesto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r>
        <w:rPr>
          <w:i/>
          <w:iCs/>
        </w:rPr>
      </w:r>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r/>
    </w:p>
    <w:p w14:paraId="512EA0A0"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La capa textual evalúa siempre y no tiene un modo de falla propio; la visual depende de que un modelo externo devuelva un veredicto legible. Si la petición a la API falla o agota su cuota, el nodo reintenta y, agotados los reintentos, la ejecución se interrumpe sin publicar. Pero si la API responde con un texto que no es un JSON válido —porque el modelo antepuso prosa o lo truncó—, el veredicto se resuelve como negativo y el contenido sigue hacia la publicación: ese tramo es fail-open. Es deliberado, porque fallar en el sentido contrario dejaría a la consultora sin publicar cada vez que el modelo se desvía del formato, y significa que el bloqueo visual depende también de la forma de la respuesta. El script con que se validó el canal replica ese parseo tolerante (Anexo E.6), de modo que la medición del §6.1 corresponde al comportamiento real del nodo.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FA14C95" w14:textId="77777777" w:rsidR="002D7F2C" w:rsidRDefault="00F72315">
      <w:pPr>
        <w:spacing w:after="240" w:line="276" w:lineRule="auto"/>
      </w:pPr>
      <w:r>
        <w:t>El nodo agrega, además de la firma, la línea de contacto que la hoja Config guarda para la consultora. En las 41 ejecuciones de E2 que van de las sesiones del 26 y 27 de septiembre a las pruebas del 28, esa línea es un identificador de Instagram y un número de WhatsApp, sin verbo ni invitación. Las Pautas ejemplifican el mensaje comercial con una invitación a contactar —«¡Pregúntame cómo puedes conseguirlo!» (p. 3)—. Una línea de datos no es ese acto, pero cumple su función, y la fuente no dice si un contacto al pie de un mensaje informativo lo vuelve comercial. Este trabajo lo declara como pregunta abierta, con tres consecuencias. Las mediciones del Anexo E.12 (0/15 y 0/32) se tomaron sobre el copy del modelo, antes de la concatenación, y no alcanzan a esa línea; ninguna corrección del prompt la modifica; y su contenido lo fija la consultora, a quien Postly no avisa de que podría ser comercial. Queda como riesgo residual, con la recomendación de hacerla opcional y de consultarla con la Compañía (§8.2).</w:t>
      </w:r>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r>
        <w:rPr>
          <w:bCs/>
        </w:rPr>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preveía forzar una relación de aspecto uniforme —1:1 o 4:5— entre las imágenes de un carrusel, para que Instagram no lo fragmente ni le agregue bordes negros, y esa subrutina no se implementó. La imagen única, en cambio, se rellena a 1:1 con fondo blanco antes de publicar en las dos redes, lo mismo que la reanudación desde la agenda. Queda así dentro del rango de 4:5 a 1,91:1 que admite la Graph API (Meta for Developers, s.f.): una foto de 3:4 y otra de 4:5 se publicaron sin rechazo el 28 de septiembre de 2026 (ejecuciones 813 y 819). El carrusel, la publicación programada y la re-publicación suben cada imagen con su proporción original y sin verificar ese rango. Un carrusel con una imagen de 3:4 y otra de 4:5 se publicó sin rechazo el mismo día (ejecución 825), pero una proporción más extrema no se probó, y la normalización del carrusel queda entre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213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—sobre un servidor propio: E1 hasta septiembre de 2026 y E3 desde octubre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fila por consultora, identificada por su TelegramUserID, y una fila general sin dueña;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de modo que la imagen bloqueada se borra de Cloudinary en paralelo al aviso (§3.7.1). Si cualquiera de las dos auditorías detecta un precio se le avisa a la usuaria. El flujo de video agrega una tercera respuesta, avisar sin bloquear, cuando el recorte a 9:16 elimina el precio (§4.3.1). El video y sus fotogramas también se suben antes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(Anexo E.4).</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t>de las Pautas, que alcanza también a la solicitud de compra sin cifra (Capítulo 7). Los casos de texto los ejecutó un script que transcribe verbatim las seis expresiones del nodo desplegado y registra el veredicto y la expresión que disparó cada bloqueo (Anexo E.4).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el material complementario (Anexo E.4).</w:t>
      </w:r>
    </w:p>
    <w:p w14:paraId="6862C91A" w14:textId="77777777" w:rsidR="00FF11D0" w:rsidRDefault="001E7637">
      <w: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el material complementario (Anexo E.4).</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caso por caso en el material complementario (Anexo E.4).</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La verificación del Anexo E.4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se contrastan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 de la ampliación, Anexo E.2).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(protocolo de la ampliación, §5).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el de la ampliación invierte ítems para medir la aquiescencia, la tendencia a acordar con una afirmación y también con su contraria (§3.5.5).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