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Arquitetura em Nuvem</w:t>
      </w:r>
    </w:p>
    <w:p>
      <w:pPr>
        <w:pStyle w:val="Subtitle"/>
        <w:rPr/>
      </w:pPr>
      <w:r>
        <w:rPr/>
        <w:t>Automação da Emissão de Certificados de Calibração — Schulz S.A.</w:t>
      </w:r>
    </w:p>
    <w:p>
      <w:pPr>
        <w:pStyle w:val="Author"/>
        <w:rPr/>
      </w:pPr>
      <w:r>
        <w:rPr/>
        <w:t>Grupo 39 — Adrian David Castillo Marcano · Nícolas Kretzschmar Lange · Rodrigo Mainardes Ribeiro</w:t>
      </w:r>
    </w:p>
    <w:p>
      <w:pPr>
        <w:pStyle w:val="Date"/>
        <w:rPr/>
      </w:pPr>
      <w:r>
        <w:rPr/>
        <w:t>Projeto Aplicado III — Tema 02 — Entrega AV2 — 02/10/2026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05"/>
        <w:gridCol w:w="7254"/>
      </w:tblGrid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Unidade Curricular</w:t>
            </w:r>
          </w:p>
        </w:tc>
        <w:tc>
          <w:tcPr>
            <w:tcW w:w="72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Projeto Aplicado III — UniSENAI/SC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Docente</w:t>
            </w:r>
          </w:p>
        </w:tc>
        <w:tc>
          <w:tcPr>
            <w:tcW w:w="72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Prof. MSc. Hugo Menezes Barra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Empresa parceira</w:t>
            </w:r>
          </w:p>
        </w:tc>
        <w:tc>
          <w:tcPr>
            <w:tcW w:w="72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Schulz S.A. — Schulz Metrologia (Setor Dimensional), Joinville/SC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Grupo 39</w:t>
            </w:r>
          </w:p>
        </w:tc>
        <w:tc>
          <w:tcPr>
            <w:tcW w:w="72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Adrian David Castillo Marcano; Nícolas Kretzschmar Lange; Rodrigo Mainardes Ribeiro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Tema 02</w:t>
            </w:r>
          </w:p>
        </w:tc>
        <w:tc>
          <w:tcPr>
            <w:tcW w:w="72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Arquitetura em nuvem para a automação da emissão de certificados de calibração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Entrega</w:t>
            </w:r>
          </w:p>
        </w:tc>
        <w:tc>
          <w:tcPr>
            <w:tcW w:w="72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AV2 — Arquitetura em Nuvem — 02/10/2026</w:t>
            </w:r>
          </w:p>
        </w:tc>
      </w:tr>
      <w:tr>
        <w:trPr/>
        <w:tc>
          <w:tcPr>
            <w:tcW w:w="21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Provedor de nuvem</w:t>
            </w:r>
          </w:p>
        </w:tc>
        <w:tc>
          <w:tcPr>
            <w:tcW w:w="72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Web Services (AWS), região sa-east-1 (São Paulo)</w:t>
            </w:r>
          </w:p>
        </w:tc>
      </w:tr>
    </w:tbl>
    <w:p>
      <w:pPr>
        <w:pStyle w:val="Heading2"/>
        <w:rPr/>
      </w:pPr>
      <w:r>
        <w:rPr/>
        <w:t>Sumário</w:t>
      </w:r>
    </w:p>
    <w:p>
      <w:pPr>
        <w:pStyle w:val="Compact"/>
        <w:numPr>
          <w:ilvl w:val="0"/>
          <w:numId w:val="6"/>
        </w:numPr>
        <w:jc w:val="both"/>
        <w:rPr/>
      </w:pPr>
      <w:r>
        <w:rPr>
          <w:b/>
          <w:bCs/>
        </w:rPr>
        <w:t>Especificação da Arquitetura Cloud e Diagrama de Solução</w:t>
      </w:r>
      <w:r>
        <w:rPr/>
        <w:t xml:space="preserve"> — 1.1 Diagrama de arquitetura em nuvem · 1.2 Mapeamento e justificativa de serviços (Free Tier)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Matriz de Viabilidade Financeira e Gestão de Limites</w:t>
      </w:r>
      <w:r>
        <w:rPr/>
        <w:t xml:space="preserve"> — 2.1 Mapeamento de cotas e limites do provedor · 2.2 Plano de monitoramento de custos e alertas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Pipeline de Ingestão e Processamento Serverless</w:t>
      </w:r>
      <w:r>
        <w:rPr/>
        <w:t xml:space="preserve"> — 3.1 Desenho do pipeline de ingestão e emissão · 3.2 Estratégia de persistência e modelagem cloud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Requisitos de Segurança, Autenticação e Conformidade</w:t>
      </w:r>
      <w:r>
        <w:rPr/>
        <w:t xml:space="preserve"> — 4.1 Gestão de identidade e controle de acesso (IAM) · 4.2 Segurança e proteção de dados (in-transit e at-rest)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Rastreabilidade com a Entrega 01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Premissas, restrições e pontos a validar</w:t>
      </w:r>
    </w:p>
    <w:p>
      <w:pPr>
        <w:pStyle w:val="Compact"/>
        <w:numPr>
          <w:ilvl w:val="0"/>
          <w:numId w:val="1"/>
        </w:numPr>
        <w:jc w:val="both"/>
        <w:rPr/>
      </w:pPr>
      <w:r>
        <w:rPr>
          <w:b/>
          <w:bCs/>
        </w:rPr>
        <w:t>Referências consultadas</w:t>
      </w:r>
    </w:p>
    <w:p>
      <w:pPr>
        <w:pStyle w:val="Heading2"/>
        <w:rPr/>
      </w:pPr>
      <w:bookmarkStart w:id="0" w:name="nota-metodológica-e-definições-de-escopo"/>
      <w:r>
        <w:rPr/>
        <w:t>Nota metodológica e definições de escopo</w:t>
      </w:r>
    </w:p>
    <w:p>
      <w:pPr>
        <w:pStyle w:val="FirstParagraph"/>
        <w:jc w:val="both"/>
        <w:rPr/>
      </w:pPr>
      <w:r>
        <w:rPr/>
        <w:t xml:space="preserve">Este documento projeta a infraestrutura em nuvem que sustenta a Prova de Conceito (PoC) do software especificado na Entrega 01. Ele mantém as duas convenções daquele documento. A primeira é a rastreabilidade: cada decisão de arquitetura aponta para o requisito (RF, RNF), a regra de negócio (RN) ou a anomalia (AN) da AV01 que a justifica, e a Seção 5 consolida essas ligações. A segunda é a marcação explícita do que não é evidência: </w:t>
      </w:r>
      <w:r>
        <w:rPr>
          <w:b/>
          <w:bCs/>
        </w:rPr>
        <w:t>[PREMISSA]</w:t>
      </w:r>
      <w:r>
        <w:rPr/>
        <w:t xml:space="preserve"> indica suposição do grupo e </w:t>
      </w:r>
      <w:r>
        <w:rPr>
          <w:b/>
          <w:bCs/>
        </w:rPr>
        <w:t>[VALIDAR]</w:t>
      </w:r>
      <w:r>
        <w:rPr/>
        <w:t xml:space="preserve"> indica pergunta ainda aberta, ambas reunidas na Seção 6.</w:t>
      </w:r>
    </w:p>
    <w:p>
      <w:pPr>
        <w:pStyle w:val="BodyText"/>
        <w:jc w:val="both"/>
        <w:rPr/>
      </w:pPr>
      <w:r>
        <w:rPr/>
        <w:t>Quatro pontos que a AV01 havia deixado em aberto (PV-01, PV-08, PV-09 e PV-10) foram respondidos pela Schulz em 17/09/2026 e passam a ser definições de escopo desta entrega, não mais premissas: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41"/>
        <w:gridCol w:w="4213"/>
        <w:gridCol w:w="4306"/>
      </w:tblGrid>
      <w:tr>
        <w:trPr>
          <w:tblHeader w:val="true"/>
        </w:trPr>
        <w:tc>
          <w:tcPr>
            <w:tcW w:w="8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ID</w:t>
            </w:r>
          </w:p>
        </w:tc>
        <w:tc>
          <w:tcPr>
            <w:tcW w:w="42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Definição da empresa (17/09/2026)</w:t>
            </w:r>
          </w:p>
        </w:tc>
        <w:tc>
          <w:tcPr>
            <w:tcW w:w="43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Consequência na arquitetura</w:t>
            </w:r>
          </w:p>
        </w:tc>
      </w:tr>
      <w:tr>
        <w:trPr/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DE-01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Não há integração direta com Calypso nem com LightLab, seja por API, banco de dados ou conector de equipamento. O escopo é a ingestão da planilha Excel/CSV sanitizada no Tema 01.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 porta de entrada é única: o upload do arquivo. Nenhum conector, VPN ou rede privada é necessário, o que elimina os componentes de rede que costumam gerar custo fixo.</w:t>
            </w:r>
          </w:p>
        </w:tc>
      </w:tr>
      <w:tr>
        <w:trPr/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DE-02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 operador faz o upload da planilha no storage da nuvem; esse evento dispara a função serverless que lê o arquivo, grava os dados no banco e gera o certificado em PDF.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 pipeline é orientado a eventos, disparado pela criação do objeto no bucket de entrada (Seção 3.1).</w:t>
            </w:r>
          </w:p>
        </w:tc>
      </w:tr>
      <w:tr>
        <w:trPr/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DE-03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Assinatura ICP-Brasil não é necessária na PoC, por se tratar de fluxo interno. Usar apenas autenticação de usuário no PDF gerado.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 autoria do certificado é dada pela identidade do usuário autenticado, registrada no documento e na trilha (Seções 4.1 e 4.2).</w:t>
            </w:r>
          </w:p>
        </w:tc>
      </w:tr>
      <w:tr>
        <w:trPr/>
        <w:tc>
          <w:tcPr>
            <w:tcW w:w="8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DE-04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Retenção de 5 anos para os registros, padrão adotado pela empresa com base na ISO/IEC 17025, com regras de ciclo de vida no storage.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Regras de ciclo de vida e bloqueio de exclusão no bucket de certificados (Seções 1.2 e 4.2).</w:t>
            </w:r>
          </w:p>
        </w:tc>
      </w:tr>
    </w:tbl>
    <w:p>
      <w:pPr>
        <w:pStyle w:val="BodyText"/>
        <w:jc w:val="both"/>
        <w:rPr/>
      </w:pPr>
      <w:r>
        <w:rPr/>
        <w:t xml:space="preserve">Todas as cotas, limites e regras de serviço citados foram conferidos nas páginas oficiais da AWS em </w:t>
      </w:r>
      <w:r>
        <w:rPr>
          <w:b/>
          <w:bCs/>
        </w:rPr>
        <w:t>02/10/2026</w:t>
      </w:r>
      <w:r>
        <w:rPr/>
        <w:t>; os endereços estão na Seção 7. Onde a página oficial não permitiu confirmar um número, o texto usa um teto conservador e o declara como tal. Um achado dessa conferência altera a leitura do próprio roteiro e é tratado na Seção 2.1: desde 15/07/2025 o Free Tier da AWS para contas novas deixou de ser o modelo de “12 meses grátis” e passou a ser um plano gratuito com créditos, mantendo as cotas permanentes (</w:t>
      </w:r>
      <w:r>
        <w:rPr>
          <w:i/>
          <w:iCs/>
        </w:rPr>
        <w:t>Always Free</w:t>
      </w:r>
      <w:r>
        <w:rPr/>
        <w:t>).</w:t>
      </w:r>
      <w:bookmarkEnd w:id="0"/>
    </w:p>
    <w:p>
      <w:pPr>
        <w:pStyle w:val="Heading1"/>
        <w:rPr/>
      </w:pPr>
      <w:bookmarkStart w:id="1" w:name="X8a9adb1d7d1cabd4592d957372dfc0b87ebaad8"/>
      <w:r>
        <w:rPr/>
        <w:t>1. Especificação da Arquitetura Cloud e Diagrama de Solução</w:t>
      </w:r>
    </w:p>
    <w:p>
      <w:pPr>
        <w:pStyle w:val="Heading2"/>
        <w:rPr/>
      </w:pPr>
      <w:bookmarkStart w:id="2" w:name="diagrama-de-arquitetura-em-nuvem"/>
      <w:r>
        <w:rPr/>
        <w:t>1.1 Diagrama de arquitetura em nuvem</w:t>
      </w:r>
    </w:p>
    <w:p>
      <w:pPr>
        <w:pStyle w:val="FirstParagraph"/>
        <w:jc w:val="both"/>
        <w:rPr/>
      </w:pPr>
      <w:r>
        <w:rPr/>
        <w:t xml:space="preserve">A Figura 1 apresenta a arquitetura proposta. Ela é integralmente </w:t>
      </w:r>
      <w:r>
        <w:rPr>
          <w:i/>
          <w:iCs/>
        </w:rPr>
        <w:t>serverless</w:t>
      </w:r>
      <w:r>
        <w:rPr/>
        <w:t>: não há servidor, contêiner, banco provisionado por instância nem componente de rede com cobrança por hora. Toda a computação ocorre em funções acionadas por evento e todo o armazenamento está em serviços gerenciados. O arquivo-fonte editável (</w:t>
      </w:r>
      <w:r>
        <w:rPr>
          <w:rStyle w:val="VerbatimChar"/>
        </w:rPr>
        <w:t>diagramas/arquitetura-av02.drawio</w:t>
      </w:r>
      <w:r>
        <w:rPr/>
        <w:t>) está versionado no repositório do grupo.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100" w:charSpace="8192"/>
        </w:sectPr>
        <w:pStyle w:val="BodyText"/>
        <w:jc w:val="both"/>
        <w:rPr/>
      </w:pPr>
      <w:r>
        <w:rPr/>
        <w:t>O diagrama, na página seguinte, tem três fronteiras. A externa é a conta AWS dedicada à PoC. Dentro dela, a região sa-east-1 (São Paulo) contém todos os recursos que tocam dados da Schulz, e a faixa inferior reúne os serviços globais de governança e custo. Fora da nuvem ficam apenas as pessoas: os usuários internos da Metrologia e os clientes externos que precisam conferir um certificado. O Calypso e o LightLab não aparecem por decisão da empresa (DE-01): o que entra na nuvem é o arquivo, não uma conexão com esses sistemas.</w:t>
      </w:r>
    </w:p>
    <w:p>
      <w:pPr>
        <w:pStyle w:val="CaptionedFigure"/>
        <w:rPr/>
      </w:pPr>
      <w:r>
        <w:rPr/>
        <w:drawing>
          <wp:inline distT="0" distB="0" distL="0" distR="0">
            <wp:extent cx="8732520" cy="4927600"/>
            <wp:effectExtent l="0" t="0" r="0" b="0"/>
            <wp:docPr id="1" name="Picture" descr="Figura 1 — Arquitetura em nuvem da PoC na AWS: do upload da planilha sanitizada ao certificado em PDF. Os números correspondem aos passos descritos na Seção 1.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Figura 1 — Arquitetura em nuvem da PoC na AWS: do upload da planilha sanitizada ao certificado em PDF. Os números correspondem aos passos descritos na Seção 1.1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252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15840" w:h="12240"/>
          <w:pgMar w:left="1000" w:right="1000" w:gutter="0" w:header="0" w:top="720" w:footer="0" w:bottom="720"/>
          <w:pgNumType w:fmt="decimal"/>
          <w:formProt w:val="false"/>
          <w:textDirection w:val="lrTb"/>
          <w:docGrid w:type="default" w:linePitch="100" w:charSpace="8192"/>
        </w:sectPr>
        <w:pStyle w:val="ImageCaption"/>
        <w:rPr/>
      </w:pPr>
      <w:r>
        <w:rPr/>
        <w:t>Figura 1 — Arquitetura em nuvem da PoC na AWS: do upload da planilha sanitizada ao certificado em PDF. Os números correspondem aos passos descritos na Seção 1.1.</w:t>
      </w:r>
    </w:p>
    <w:p>
      <w:pPr>
        <w:pStyle w:val="Heading3"/>
        <w:rPr/>
      </w:pPr>
      <w:bookmarkStart w:id="3" w:name="leitura-do-diagrama-passo-a-passo"/>
      <w:r>
        <w:rPr/>
        <w:t>1.1.1 Leitura do diagrama, passo a passo</w:t>
      </w:r>
    </w:p>
    <w:p>
      <w:pPr>
        <w:pStyle w:val="FirstParagraph"/>
        <w:rPr/>
      </w:pPr>
      <w:r>
        <w:rPr/>
        <w:t>Os números a seguir são os mesmos que identificam as setas da Figura 1.</w:t>
      </w:r>
    </w:p>
    <w:p>
      <w:pPr>
        <w:pStyle w:val="BodyText"/>
        <w:jc w:val="both"/>
        <w:rPr/>
      </w:pPr>
      <w:r>
        <w:rPr>
          <w:b/>
          <w:bCs/>
        </w:rPr>
        <w:t>Passo 1 — Autenticação.</w:t>
      </w:r>
      <w:r>
        <w:rPr/>
        <w:t xml:space="preserve"> O usuário interno se autentica no Amazon Cognito com e-mail corporativo, senha e segundo fator por aplicativo autenticador (TOTP). O Cognito devolve um token JWT que carrega a identidade do usuário e o grupo a que pertence — metrologista, signatário, coordenador ou auditor. Esse token é a base de todo o controle de acesso da Seção 4.1 e é o que atende à definição DE-03.</w:t>
      </w:r>
    </w:p>
    <w:p>
      <w:pPr>
        <w:pStyle w:val="BodyText"/>
        <w:jc w:val="both"/>
        <w:rPr/>
      </w:pPr>
      <w:r>
        <w:rPr>
          <w:b/>
          <w:bCs/>
        </w:rPr>
        <w:t>Passo 2 — Pedido de upload.</w:t>
      </w:r>
      <w:r>
        <w:rPr/>
        <w:t xml:space="preserve"> Com o token, o metrologista chama a rota </w:t>
      </w:r>
      <w:r>
        <w:rPr>
          <w:rStyle w:val="VerbatimChar"/>
        </w:rPr>
        <w:t>POST /uploads</w:t>
      </w:r>
      <w:r>
        <w:rPr/>
        <w:t xml:space="preserve"> do Amazon API Gateway. O autorizador JWT do próprio API Gateway valida assinatura, emissor, validade e grupo antes de qualquer código ser executado; pedidos sem token válido são recusados na borda, sem consumir computação. A função </w:t>
      </w:r>
      <w:r>
        <w:rPr>
          <w:rStyle w:val="VerbatimChar"/>
        </w:rPr>
        <w:t>fn-api</w:t>
      </w:r>
      <w:r>
        <w:rPr/>
        <w:t xml:space="preserve"> registra a intenção de upload e devolve um formulário de envio pré-assinado, válido por 5 minutos, restrito a um único caminho do bucket, ao tipo de arquivo esperado e a um tamanho máximo de 5 MB.</w:t>
      </w:r>
    </w:p>
    <w:p>
      <w:pPr>
        <w:pStyle w:val="BodyText"/>
        <w:jc w:val="both"/>
        <w:rPr/>
      </w:pPr>
      <w:r>
        <w:rPr>
          <w:b/>
          <w:bCs/>
        </w:rPr>
        <w:t>Passo 3 — Envio direto ao storage.</w:t>
      </w:r>
      <w:r>
        <w:rPr/>
        <w:t xml:space="preserve"> O navegador envia a planilha sanitizada diretamente ao bucket de entrada do Amazon S3, no prefixo </w:t>
      </w:r>
      <w:r>
        <w:rPr>
          <w:rStyle w:val="VerbatimChar"/>
        </w:rPr>
        <w:t>uploads/</w:t>
      </w:r>
      <w:r>
        <w:rPr/>
        <w:t>, por HTTPS. O arquivo não atravessa a função nem o API Gateway, o que evita os limites de carga desses serviços e mantém o consumo de computação próximo de zero nessa etapa. O usuário nunca recebe credenciais da AWS: recebe apenas a autorização temporária e específica para aquele envio.</w:t>
      </w:r>
    </w:p>
    <w:p>
      <w:pPr>
        <w:pStyle w:val="BodyText"/>
        <w:jc w:val="both"/>
        <w:rPr/>
      </w:pPr>
      <w:r>
        <w:rPr>
          <w:b/>
          <w:bCs/>
        </w:rPr>
        <w:t>Passo 4 — Evento de criação do objeto.</w:t>
      </w:r>
      <w:r>
        <w:rPr/>
        <w:t xml:space="preserve"> A gravação do arquivo gera o evento </w:t>
      </w:r>
      <w:r>
        <w:rPr>
          <w:rStyle w:val="VerbatimChar"/>
        </w:rPr>
        <w:t>s3:ObjectCreated</w:t>
      </w:r>
      <w:r>
        <w:rPr/>
        <w:t xml:space="preserve"> no prefixo </w:t>
      </w:r>
      <w:r>
        <w:rPr>
          <w:rStyle w:val="VerbatimChar"/>
        </w:rPr>
        <w:t>uploads/</w:t>
      </w:r>
      <w:r>
        <w:rPr/>
        <w:t xml:space="preserve">, que invoca de forma assíncrona a função </w:t>
      </w:r>
      <w:r>
        <w:rPr>
          <w:rStyle w:val="VerbatimChar"/>
        </w:rPr>
        <w:t>fn-ingestao</w:t>
      </w:r>
      <w:r>
        <w:rPr/>
        <w:t>. Esse é o gatilho pedido na definição DE-02 e o ponto em que o processo deixa de depender de ação humana.</w:t>
      </w:r>
    </w:p>
    <w:p>
      <w:pPr>
        <w:pStyle w:val="BodyText"/>
        <w:jc w:val="both"/>
        <w:rPr/>
      </w:pPr>
      <w:r>
        <w:rPr>
          <w:b/>
          <w:bCs/>
        </w:rPr>
        <w:t>Passo 5 — Leitura, validação, saneamento, cálculo e persistência.</w:t>
      </w:r>
      <w:r>
        <w:rPr/>
        <w:t xml:space="preserve"> A </w:t>
      </w:r>
      <w:r>
        <w:rPr>
          <w:rStyle w:val="VerbatimChar"/>
        </w:rPr>
        <w:t>fn-ingestao</w:t>
      </w:r>
      <w:r>
        <w:rPr/>
        <w:t xml:space="preserve"> calcula o hash SHA-256 do arquivo, valida a estrutura contra o contrato de entrada, aplica as regras de saneamento da AV01, calcula os resultados e a incerteza e grava tudo no Amazon DynamoDB em uma transação. </w:t>
      </w:r>
      <w:r>
        <w:rPr>
          <w:b/>
          <w:bCs/>
        </w:rPr>
        <w:t>Passo 5b:</w:t>
      </w:r>
      <w:r>
        <w:rPr/>
        <w:t xml:space="preserve"> se o arquivo é inválido, nada é gravado nas tabelas de negócio; o objeto é movido para o prefixo </w:t>
      </w:r>
      <w:r>
        <w:rPr>
          <w:rStyle w:val="VerbatimChar"/>
        </w:rPr>
        <w:t>quarentena/</w:t>
      </w:r>
      <w:r>
        <w:rPr/>
        <w:t xml:space="preserve"> com o motivo da rejeição e a equipe é notificada.</w:t>
      </w:r>
    </w:p>
    <w:p>
      <w:pPr>
        <w:pStyle w:val="BodyText"/>
        <w:jc w:val="both"/>
        <w:rPr/>
      </w:pPr>
      <w:r>
        <w:rPr>
          <w:b/>
          <w:bCs/>
        </w:rPr>
        <w:t>Passo 6 — Encadeamento por evento.</w:t>
      </w:r>
      <w:r>
        <w:rPr/>
        <w:t xml:space="preserve"> O término bem-sucedido da ingestão aciona, por destino de sucesso do AWS Lambda, a função </w:t>
      </w:r>
      <w:r>
        <w:rPr>
          <w:rStyle w:val="VerbatimChar"/>
        </w:rPr>
        <w:t>fn-certificado</w:t>
      </w:r>
      <w:r>
        <w:rPr/>
        <w:t>. Não há fila sendo consultada nem serviço orquestrador em execução permanente: uma função termina e o resultado dela é o evento que inicia a seguinte.</w:t>
      </w:r>
    </w:p>
    <w:p>
      <w:pPr>
        <w:pStyle w:val="BodyText"/>
        <w:jc w:val="both"/>
        <w:rPr/>
      </w:pPr>
      <w:r>
        <w:rPr>
          <w:b/>
          <w:bCs/>
        </w:rPr>
        <w:t>Passo 7 — Geração da minuta.</w:t>
      </w:r>
      <w:r>
        <w:rPr/>
        <w:t xml:space="preserve"> A </w:t>
      </w:r>
      <w:r>
        <w:rPr>
          <w:rStyle w:val="VerbatimChar"/>
        </w:rPr>
        <w:t>fn-certificado</w:t>
      </w:r>
      <w:r>
        <w:rPr/>
        <w:t xml:space="preserve"> lê os dados já calculados no DynamoDB, monta o certificado em PDF no layout atual da Schulz e o grava no bucket de certificados, prefixo </w:t>
      </w:r>
      <w:r>
        <w:rPr>
          <w:rStyle w:val="VerbatimChar"/>
        </w:rPr>
        <w:t>minutas/</w:t>
      </w:r>
      <w:r>
        <w:rPr/>
        <w:t>, com a marcação de documento em revisão.</w:t>
      </w:r>
    </w:p>
    <w:p>
      <w:pPr>
        <w:pStyle w:val="BodyText"/>
        <w:jc w:val="both"/>
        <w:rPr/>
      </w:pPr>
      <w:r>
        <w:rPr>
          <w:b/>
          <w:bCs/>
        </w:rPr>
        <w:t>Passo 8 — Aprovação.</w:t>
      </w:r>
      <w:r>
        <w:rPr/>
        <w:t xml:space="preserve"> O signatário autorizado consulta a minuta e aprova a emissão pela rota </w:t>
      </w:r>
      <w:r>
        <w:rPr>
          <w:rStyle w:val="VerbatimChar"/>
        </w:rPr>
        <w:t>POST /calibracoes/{id}/aprovacao</w:t>
      </w:r>
      <w:r>
        <w:rPr/>
        <w:t xml:space="preserve">. A </w:t>
      </w:r>
      <w:r>
        <w:rPr>
          <w:rStyle w:val="VerbatimChar"/>
        </w:rPr>
        <w:t>fn-api</w:t>
      </w:r>
      <w:r>
        <w:rPr/>
        <w:t xml:space="preserve"> verifica que o aprovador pertence ao grupo de signatários e que não é o técnico executante (RN-12), registra a decisão e aciona novamente a </w:t>
      </w:r>
      <w:r>
        <w:rPr>
          <w:rStyle w:val="VerbatimChar"/>
        </w:rPr>
        <w:t>fn-certificado</w:t>
      </w:r>
      <w:r>
        <w:rPr/>
        <w:t>.</w:t>
      </w:r>
    </w:p>
    <w:p>
      <w:pPr>
        <w:pStyle w:val="BodyText"/>
        <w:jc w:val="both"/>
        <w:rPr/>
      </w:pPr>
      <w:r>
        <w:rPr>
          <w:b/>
          <w:bCs/>
        </w:rPr>
        <w:t>Passo 9 — Emissão.</w:t>
      </w:r>
      <w:r>
        <w:rPr/>
        <w:t xml:space="preserve"> A </w:t>
      </w:r>
      <w:r>
        <w:rPr>
          <w:rStyle w:val="VerbatimChar"/>
        </w:rPr>
        <w:t>fn-certificado</w:t>
      </w:r>
      <w:r>
        <w:rPr/>
        <w:t xml:space="preserve"> atribui o número sequencial, gera o PDF definitivo com a identificação de quem executou e de quem aprovou, calcula o hash SHA-256 do documento, grava o arquivo no prefixo </w:t>
      </w:r>
      <w:r>
        <w:rPr>
          <w:rStyle w:val="VerbatimChar"/>
        </w:rPr>
        <w:t>emitidos/</w:t>
      </w:r>
      <w:r>
        <w:rPr/>
        <w:t xml:space="preserve"> com bloqueio contra alteração e exclusão (S3 Object Lock) e registra a emissão na tabela de auditoria.</w:t>
      </w:r>
    </w:p>
    <w:p>
      <w:pPr>
        <w:pStyle w:val="BodyText"/>
        <w:jc w:val="both"/>
        <w:rPr/>
      </w:pPr>
      <w:r>
        <w:rPr>
          <w:b/>
          <w:bCs/>
        </w:rPr>
        <w:t>Passo 10 — Consulta, download e verificação.</w:t>
      </w:r>
      <w:r>
        <w:rPr/>
        <w:t xml:space="preserve"> Usuários internos baixam o certificado por um endereço pré-assinado de curta duração, emitido pela </w:t>
      </w:r>
      <w:r>
        <w:rPr>
          <w:rStyle w:val="VerbatimChar"/>
        </w:rPr>
        <w:t>fn-api</w:t>
      </w:r>
      <w:r>
        <w:rPr/>
        <w:t xml:space="preserve"> após checagem de perfil. O cliente externo — um fornecedor ou um auditor — confere a autenticidade pela rota pública </w:t>
      </w:r>
      <w:r>
        <w:rPr>
          <w:rStyle w:val="VerbatimChar"/>
        </w:rPr>
        <w:t>GET /verificacao/{token}</w:t>
      </w:r>
      <w:r>
        <w:rPr/>
        <w:t>, que devolve apenas número, data, situação e hash do documento, sem dado pessoal.</w:t>
      </w:r>
    </w:p>
    <w:p>
      <w:pPr>
        <w:pStyle w:val="BodyText"/>
        <w:jc w:val="both"/>
        <w:rPr/>
      </w:pPr>
      <w:r>
        <w:rPr>
          <w:b/>
          <w:bCs/>
        </w:rPr>
        <w:t>Tratamento de falha.</w:t>
      </w:r>
      <w:r>
        <w:rPr/>
        <w:t xml:space="preserve"> As linhas tracejadas mostram o caminho de erro. Se uma função falha depois das tentativas automáticas, o evento é enviado à fila de falhas no Amazon SQS, um alarme do Amazon CloudWatch dispara e o Amazon SNS avisa a equipe por e-mail. Nenhuma planilha se perde em silêncio, que é justamente o defeito do processo atual apontado na AV01 (AN-03, truncamento sem aviso).</w:t>
      </w:r>
      <w:bookmarkEnd w:id="2"/>
      <w:bookmarkEnd w:id="3"/>
    </w:p>
    <w:p>
      <w:pPr>
        <w:pStyle w:val="Heading2"/>
        <w:rPr/>
      </w:pPr>
      <w:bookmarkStart w:id="4" w:name="Xe97b95343d892c62ea85efbeb71a2b304908afc"/>
      <w:r>
        <w:rPr/>
        <w:t>1.2 Mapeamento e justificativa de serviços cloud (Free Tier)</w:t>
      </w:r>
    </w:p>
    <w:p>
      <w:pPr>
        <w:pStyle w:val="FirstParagraph"/>
        <w:jc w:val="both"/>
        <w:rPr/>
      </w:pPr>
      <w:r>
        <w:rPr/>
        <w:t>A seleção seguiu três critérios, nesta ordem: (i) o serviço precisa estar na cota permanente da AWS ou ter consumo estimado desprezível frente aos créditos do plano gratuito; (ii) não pode haver cobrança por tempo ocioso, porque o laboratório emite cerca de 12 certificados por mês e passa a maior parte do tempo sem tráfego; (iii) deve atender a um requisito não funcional da AV01 sem exigir operação de infraestrutura pela equipe da Metrologia (RNF-12).</w:t>
      </w:r>
    </w:p>
    <w:p>
      <w:pPr>
        <w:pStyle w:val="Heading3"/>
        <w:rPr/>
      </w:pPr>
      <w:bookmarkStart w:id="5" w:name="armazenamento-amazon-s3"/>
      <w:r>
        <w:rPr/>
        <w:t>1.2.1 Armazenamento — Amazon S3</w:t>
      </w:r>
    </w:p>
    <w:p>
      <w:pPr>
        <w:pStyle w:val="FirstParagraph"/>
        <w:jc w:val="both"/>
        <w:rPr/>
      </w:pPr>
      <w:r>
        <w:rPr/>
        <w:t xml:space="preserve">Dois buckets separados, por função e por segurança. O </w:t>
      </w:r>
      <w:r>
        <w:rPr>
          <w:b/>
          <w:bCs/>
        </w:rPr>
        <w:t>bucket de entrada</w:t>
      </w:r>
      <w:r>
        <w:rPr/>
        <w:t xml:space="preserve"> recebe as planilhas (</w:t>
      </w:r>
      <w:r>
        <w:rPr>
          <w:rStyle w:val="VerbatimChar"/>
        </w:rPr>
        <w:t>uploads/</w:t>
      </w:r>
      <w:r>
        <w:rPr/>
        <w:t>) e guarda as rejeitadas (</w:t>
      </w:r>
      <w:r>
        <w:rPr>
          <w:rStyle w:val="VerbatimChar"/>
        </w:rPr>
        <w:t>quarentena/</w:t>
      </w:r>
      <w:r>
        <w:rPr/>
        <w:t xml:space="preserve">). O </w:t>
      </w:r>
      <w:r>
        <w:rPr>
          <w:b/>
          <w:bCs/>
        </w:rPr>
        <w:t>bucket de certificados</w:t>
      </w:r>
      <w:r>
        <w:rPr/>
        <w:t xml:space="preserve"> guarda as minutas (</w:t>
      </w:r>
      <w:r>
        <w:rPr>
          <w:rStyle w:val="VerbatimChar"/>
        </w:rPr>
        <w:t>minutas/</w:t>
      </w:r>
      <w:r>
        <w:rPr/>
        <w:t>) e os documentos emitidos (</w:t>
      </w:r>
      <w:r>
        <w:rPr>
          <w:rStyle w:val="VerbatimChar"/>
        </w:rPr>
        <w:t>emitidos/</w:t>
      </w:r>
      <w:r>
        <w:rPr/>
        <w:t>). A separação não é estética: se a função que é disparada por um bucket gravasse no mesmo bucket, ela se invocaria em ciclo, e esse é o cenário clássico de consumo descontrolado em arquiteturas orientadas a eventos; a documentação da AWS recomenda explicitamente buckets distintos para entrada e saída.</w:t>
      </w:r>
    </w:p>
    <w:p>
      <w:pPr>
        <w:pStyle w:val="BodyText"/>
        <w:jc w:val="both"/>
        <w:rPr/>
      </w:pPr>
      <w:r>
        <w:rPr/>
        <w:t xml:space="preserve">Ambos têm acesso público bloqueado, versionamento ativo e criptografia no servidor. O bucket de certificados tem ainda o </w:t>
      </w:r>
      <w:r>
        <w:rPr>
          <w:b/>
          <w:bCs/>
        </w:rPr>
        <w:t>S3 Object Lock</w:t>
      </w:r>
      <w:r>
        <w:rPr/>
        <w:t xml:space="preserve">, que implementa o modelo </w:t>
      </w:r>
      <w:r>
        <w:rPr>
          <w:i/>
          <w:iCs/>
        </w:rPr>
        <w:t>write once, read many</w:t>
      </w:r>
      <w:r>
        <w:rPr/>
        <w:t xml:space="preserve">: um objeto gravado em </w:t>
      </w:r>
      <w:r>
        <w:rPr>
          <w:rStyle w:val="VerbatimChar"/>
        </w:rPr>
        <w:t>emitidos/</w:t>
      </w:r>
      <w:r>
        <w:rPr/>
        <w:t xml:space="preserve"> não pode ser sobrescrito nem excluído até o fim do período de retenção. É esse mecanismo, e não uma convenção da aplicação, que garante a imutabilidade exigida por RNF-03, RN-15 e RN-22 e que responde ao risco de auditoria RA-06 (registros editáveis).</w:t>
      </w:r>
    </w:p>
    <w:p>
      <w:pPr>
        <w:pStyle w:val="BodyText"/>
        <w:jc w:val="both"/>
        <w:rPr/>
      </w:pPr>
      <w:r>
        <w:rPr/>
        <w:t>A definição DE-04 é atendida por regras de ciclo de vida, declaradas por prefixo: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09"/>
        <w:gridCol w:w="4026"/>
        <w:gridCol w:w="4025"/>
      </w:tblGrid>
      <w:tr>
        <w:trPr>
          <w:tblHeader w:val="true"/>
        </w:trPr>
        <w:tc>
          <w:tcPr>
            <w:tcW w:w="13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Prefixo</w:t>
            </w:r>
          </w:p>
        </w:tc>
        <w:tc>
          <w:tcPr>
            <w:tcW w:w="402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Regra de ciclo de vida</w:t>
            </w:r>
          </w:p>
        </w:tc>
        <w:tc>
          <w:tcPr>
            <w:tcW w:w="40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Justificativa</w:t>
            </w:r>
          </w:p>
        </w:tc>
      </w:tr>
      <w:tr>
        <w:trPr/>
        <w:tc>
          <w:tcPr>
            <w:tcW w:w="1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uploads/</w:t>
            </w:r>
          </w:p>
        </w:tc>
        <w:tc>
          <w:tcPr>
            <w:tcW w:w="402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Retenção de 5 anos e 30 dias; transição para classe de acesso infrequente após 90 dias.</w:t>
            </w:r>
          </w:p>
        </w:tc>
        <w:tc>
          <w:tcPr>
            <w:tcW w:w="4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 original importado é parte do registro (RN-22) e permite reprocessar qualquer certificado.</w:t>
            </w:r>
          </w:p>
        </w:tc>
      </w:tr>
      <w:tr>
        <w:trPr/>
        <w:tc>
          <w:tcPr>
            <w:tcW w:w="1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quarentena/</w:t>
            </w:r>
          </w:p>
        </w:tc>
        <w:tc>
          <w:tcPr>
            <w:tcW w:w="402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Expiração em 90 dias.</w:t>
            </w:r>
          </w:p>
        </w:tc>
        <w:tc>
          <w:tcPr>
            <w:tcW w:w="4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Arquivo rejeitado não é registro de calibração; guarda-se o suficiente para a correção e o reenvio.</w:t>
            </w:r>
          </w:p>
        </w:tc>
      </w:tr>
      <w:tr>
        <w:trPr/>
        <w:tc>
          <w:tcPr>
            <w:tcW w:w="1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minutas/</w:t>
            </w:r>
          </w:p>
        </w:tc>
        <w:tc>
          <w:tcPr>
            <w:tcW w:w="402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Expiração em 30 dias.</w:t>
            </w:r>
          </w:p>
        </w:tc>
        <w:tc>
          <w:tcPr>
            <w:tcW w:w="4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 minuta perde a função quando o certificado é emitido ou a calibração é cancelada.</w:t>
            </w:r>
          </w:p>
        </w:tc>
      </w:tr>
      <w:tr>
        <w:trPr/>
        <w:tc>
          <w:tcPr>
            <w:tcW w:w="1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emitidos/</w:t>
            </w:r>
          </w:p>
        </w:tc>
        <w:tc>
          <w:tcPr>
            <w:tcW w:w="402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Object Lock por 5 anos a partir da emissão; transição para classe de arquivamento após 12 meses; expiração em 5 anos e 30 dias.</w:t>
            </w:r>
          </w:p>
        </w:tc>
        <w:tc>
          <w:tcPr>
            <w:tcW w:w="4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Retenção definida pela Schulz (DE-04). A expiração só ocorre depois do fim do bloqueio.</w:t>
            </w:r>
          </w:p>
        </w:tc>
      </w:tr>
      <w:tr>
        <w:trPr/>
        <w:tc>
          <w:tcPr>
            <w:tcW w:w="13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Todos</w:t>
            </w:r>
          </w:p>
        </w:tc>
        <w:tc>
          <w:tcPr>
            <w:tcW w:w="402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Versões não correntes expiram em 30 dias; uploads incompletos são abortados em 7 dias.</w:t>
            </w:r>
          </w:p>
        </w:tc>
        <w:tc>
          <w:tcPr>
            <w:tcW w:w="40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Evita acúmulo invisível de armazenamento.</w:t>
            </w:r>
          </w:p>
        </w:tc>
      </w:tr>
    </w:tbl>
    <w:p>
      <w:pPr>
        <w:pStyle w:val="BodyText"/>
        <w:jc w:val="both"/>
        <w:rPr/>
      </w:pPr>
      <w:r>
        <w:rPr/>
        <w:t xml:space="preserve">Duas ressalvas técnicas, verificadas na documentação. Primeiro, o S3 não transiciona por padrão objetos menores que 128 KB, e um certificado desta família tem cerca de 115 KB (o arquivo real </w:t>
      </w:r>
      <w:r>
        <w:rPr>
          <w:rStyle w:val="VerbatimChar"/>
        </w:rPr>
        <w:t>Cal_1_5896_1_0.pdf</w:t>
      </w:r>
      <w:r>
        <w:rPr/>
        <w:t xml:space="preserve"> tem 114.788 bytes); a regra de transição só terá efeito sobre os PDFs maiores, a menos que se configure um filtro de tamanho. Segundo, no volume da Schulz a transição é irrelevante em custo: cinco anos de acervo somam cerca de 0,27 GB. As regras foram mantidas porque a empresa as pediu e porque o que elas entregam aqui é governança — prazo de guarda explícito, automático e auditável — e não economia. Na PoC, o Object Lock será usado em modo </w:t>
      </w:r>
      <w:r>
        <w:rPr>
          <w:i/>
          <w:iCs/>
        </w:rPr>
        <w:t>governance</w:t>
      </w:r>
      <w:r>
        <w:rPr/>
        <w:t xml:space="preserve"> com retenção curta, para que o ambiente de testes possa ser limpo; em produção, o modo é </w:t>
      </w:r>
      <w:r>
        <w:rPr>
          <w:i/>
          <w:iCs/>
        </w:rPr>
        <w:t>compliance</w:t>
      </w:r>
      <w:r>
        <w:rPr/>
        <w:t xml:space="preserve"> com 5 anos, em que nem o usuário raiz da conta consegue excluir o documento.</w:t>
      </w:r>
      <w:bookmarkEnd w:id="5"/>
    </w:p>
    <w:p>
      <w:pPr>
        <w:pStyle w:val="Heading3"/>
        <w:rPr/>
      </w:pPr>
      <w:bookmarkStart w:id="6" w:name="computação-e-processamento-aws-lambda"/>
      <w:r>
        <w:rPr/>
        <w:t>1.2.2 Computação e processamento — AWS Lambda</w:t>
      </w:r>
    </w:p>
    <w:p>
      <w:pPr>
        <w:pStyle w:val="FirstParagraph"/>
        <w:rPr/>
      </w:pPr>
      <w:r>
        <w:rPr/>
        <w:t>Três funções, cada uma com um papel de execução próprio (Seção 4.1):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91"/>
        <w:gridCol w:w="2246"/>
        <w:gridCol w:w="3838"/>
        <w:gridCol w:w="1684"/>
      </w:tblGrid>
      <w:tr>
        <w:trPr>
          <w:tblHeader w:val="true"/>
        </w:trPr>
        <w:tc>
          <w:tcPr>
            <w:tcW w:w="15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Função</w:t>
            </w:r>
          </w:p>
        </w:tc>
        <w:tc>
          <w:tcPr>
            <w:tcW w:w="22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Gatilho</w:t>
            </w:r>
          </w:p>
        </w:tc>
        <w:tc>
          <w:tcPr>
            <w:tcW w:w="38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Responsabilidade</w:t>
            </w:r>
          </w:p>
        </w:tc>
        <w:tc>
          <w:tcPr>
            <w:tcW w:w="16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Requisitos atendidos</w:t>
            </w:r>
          </w:p>
        </w:tc>
      </w:tr>
      <w:tr>
        <w:trPr/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fn-api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API Gateway (rotas HTTP)</w:t>
            </w:r>
          </w:p>
        </w:tc>
        <w:tc>
          <w:tcPr>
            <w:tcW w:w="3838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Emitir autorizações pré-assinadas de upload e download, consultar calibrações, registrar aprovação, verificar token.</w:t>
            </w:r>
          </w:p>
        </w:tc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RF-12, RF-15, RF-16</w:t>
            </w:r>
          </w:p>
        </w:tc>
      </w:tr>
      <w:tr>
        <w:trPr/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fn-ingestao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Evento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s3:ObjectCreated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uploads/</w:t>
            </w:r>
          </w:p>
        </w:tc>
        <w:tc>
          <w:tcPr>
            <w:tcW w:w="3838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Ler e validar o arquivo, sanear, calcular resultados e incerteza, avaliar conformidade e persistir.</w:t>
            </w:r>
          </w:p>
        </w:tc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RF-01 a RF-09</w:t>
            </w:r>
          </w:p>
        </w:tc>
      </w:tr>
      <w:tr>
        <w:trPr/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fn-certificado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Destino de sucesso da ingestão e invocação assíncrona pela aprovação</w:t>
            </w:r>
          </w:p>
        </w:tc>
        <w:tc>
          <w:tcPr>
            <w:tcW w:w="3838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Gerar o PDF (minuta e definitivo), numerar, calcular hash e token, gravar com Object Lock.</w:t>
            </w:r>
          </w:p>
        </w:tc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RF-10, RF-11, RF-13, RF-14</w:t>
            </w:r>
          </w:p>
        </w:tc>
      </w:tr>
    </w:tbl>
    <w:p>
      <w:pPr>
        <w:pStyle w:val="BodyText"/>
        <w:jc w:val="both"/>
        <w:rPr/>
      </w:pPr>
      <w:r>
        <w:rPr/>
        <w:t xml:space="preserve">O Lambda foi escolhido por cobrar apenas por requisição e por tempo de execução: sem upload, o custo e o consumo de cota são zero. A alternativa em contêiner ou máquina virtual manteria um recurso ligado 24 horas para processar 12 arquivos por mês. O serviço também atende ao RNF-12, pois elimina o add-in local e a dependência do arquivo </w:t>
      </w:r>
      <w:r>
        <w:rPr>
          <w:rStyle w:val="VerbatimChar"/>
        </w:rPr>
        <w:t>ReportINI.xls</w:t>
      </w:r>
      <w:r>
        <w:rPr/>
        <w:t xml:space="preserve"> em XLSTART identificados na AV01. Os limites do serviço — 15 minutos de execução e até 10.240 MB de memória por função — estão muito acima do necessário: a meta do RNF-01 é concluir a importação e o cálculo em até 5 segundos. A divisão em duas funções de pipeline separa o motor de cálculo da geração do documento, que têm bibliotecas, consumo de memória e ritmo de mudança diferentes, e antecipa a decomposição em microsserviços da Entrega 03. A linguagem de implementação é decisão daquela entrega; as estimativas deste documento usam 1 GB de memória por função de pipeline, valor conservador para qualquer das opções.</w:t>
      </w:r>
      <w:bookmarkEnd w:id="6"/>
    </w:p>
    <w:p>
      <w:pPr>
        <w:pStyle w:val="Heading3"/>
        <w:rPr/>
      </w:pPr>
      <w:bookmarkStart w:id="7" w:name="banco-de-dados-amazon-dynamodb"/>
      <w:r>
        <w:rPr/>
        <w:t>1.2.3 Banco de dados — Amazon DynamoDB</w:t>
      </w:r>
    </w:p>
    <w:p>
      <w:pPr>
        <w:pStyle w:val="FirstParagraph"/>
        <w:jc w:val="both"/>
        <w:rPr/>
      </w:pPr>
      <w:bookmarkStart w:id="8" w:name="banco-de-dados-amazon-dynamodb"/>
      <w:r>
        <w:rPr/>
        <w:t>O DynamoDB é o único banco gerenciado da AWS cuja cota gratuita é permanente: 25 GB de armazenamento e 25 unidades de leitura e 25 de escrita provisionadas. A decisão não é trivial, porque o dicionário de dados da AV01 é relacional, e por isso é discutida em detalhe na Seção 3.2, com as alternativas descartadas e o custo de modelagem assumido. Em síntese: um banco relacional em instância ficaria ligado continuamente e consumiria créditos mesmo sem uso, enquanto o DynamoDB em modo provisionado tem custo zero dentro da cota e, por construção, não ultrapassa a capacidade contratada.</w:t>
      </w:r>
      <w:bookmarkEnd w:id="8"/>
    </w:p>
    <w:p>
      <w:pPr>
        <w:pStyle w:val="Heading3"/>
        <w:rPr/>
      </w:pPr>
      <w:bookmarkStart w:id="9" w:name="X213e310161d59aa2d7acf47f70a32e69b75e308"/>
      <w:r>
        <w:rPr/>
        <w:t>1.2.4 Segurança e autenticação — Amazon Cognito, AWS IAM e API Gateway</w:t>
      </w:r>
    </w:p>
    <w:p>
      <w:pPr>
        <w:pStyle w:val="FirstParagraph"/>
        <w:jc w:val="both"/>
        <w:rPr/>
      </w:pPr>
      <w:r>
        <w:rPr/>
        <w:t xml:space="preserve">O </w:t>
      </w:r>
      <w:r>
        <w:rPr>
          <w:b/>
          <w:bCs/>
        </w:rPr>
        <w:t>Amazon Cognito</w:t>
      </w:r>
      <w:r>
        <w:rPr/>
        <w:t xml:space="preserve"> fornece o diretório de usuários, a política de senha, o segundo fator e a emissão de tokens, com cota gratuita de 10.000 usuários ativos por mês que, segundo a página de preços, não expira. Ele substitui dois mecanismos frágeis apontados na AV01: a seleção do signatário por índice numérico digitado (AN-22) e o campo de signatário “Não informado” (RA-09). O </w:t>
      </w:r>
      <w:r>
        <w:rPr>
          <w:b/>
          <w:bCs/>
        </w:rPr>
        <w:t>AWS IAM</w:t>
      </w:r>
      <w:r>
        <w:rPr/>
        <w:t xml:space="preserve"> define o que cada função pode fazer, com um papel por função e permissões mínimas. O </w:t>
      </w:r>
      <w:r>
        <w:rPr>
          <w:b/>
          <w:bCs/>
        </w:rPr>
        <w:t>Amazon API Gateway</w:t>
      </w:r>
      <w:r>
        <w:rPr/>
        <w:t>, no tipo HTTP API, é a única porta de entrada para chamadas: termina o TLS, valida o JWT e limita a taxa de requisições por rota. A opção por HTTP API, e não REST API, deve-se ao autorizador JWT nativo e ao menor preço por requisição.</w:t>
      </w:r>
      <w:bookmarkEnd w:id="9"/>
    </w:p>
    <w:p>
      <w:pPr>
        <w:pStyle w:val="Heading3"/>
        <w:rPr/>
      </w:pPr>
      <w:bookmarkStart w:id="10" w:name="integração-observabilidade-e-custos"/>
      <w:r>
        <w:rPr/>
        <w:t>1.2.5 Integração, observabilidade e custos</w:t>
      </w:r>
    </w:p>
    <w:p>
      <w:pPr>
        <w:pStyle w:val="FirstParagraph"/>
        <w:jc w:val="both"/>
        <w:rPr/>
      </w:pPr>
      <w:r>
        <w:rPr/>
        <w:t xml:space="preserve">O </w:t>
      </w:r>
      <w:r>
        <w:rPr>
          <w:b/>
          <w:bCs/>
        </w:rPr>
        <w:t>Amazon SQS</w:t>
      </w:r>
      <w:r>
        <w:rPr/>
        <w:t xml:space="preserve"> é usado apenas como fila de falhas (</w:t>
      </w:r>
      <w:r>
        <w:rPr>
          <w:i/>
          <w:iCs/>
        </w:rPr>
        <w:t>dead-letter queue</w:t>
      </w:r>
      <w:r>
        <w:rPr/>
        <w:t xml:space="preserve">). O grupo avaliou e descartou o uso de fila como gatilho entre as funções: uma função que consome fila mantém consultas permanentes ao serviço mesmo com a fila vazia, o que gastaria parte da cota mensal sem processar nada. O encadeamento por destino do Lambda não tem esse custo de espera. O </w:t>
      </w:r>
      <w:r>
        <w:rPr>
          <w:b/>
          <w:bCs/>
        </w:rPr>
        <w:t>Amazon SNS</w:t>
      </w:r>
      <w:r>
        <w:rPr/>
        <w:t xml:space="preserve"> envia os alertas operacionais e de custo por e-mail. O </w:t>
      </w:r>
      <w:r>
        <w:rPr>
          <w:b/>
          <w:bCs/>
        </w:rPr>
        <w:t>Amazon CloudWatch</w:t>
      </w:r>
      <w:r>
        <w:rPr/>
        <w:t xml:space="preserve"> recebe os logs das funções, com retenção de 30 dias, e mantém os alarmes. O </w:t>
      </w:r>
      <w:r>
        <w:rPr>
          <w:b/>
          <w:bCs/>
        </w:rPr>
        <w:t>AWS CloudTrail</w:t>
      </w:r>
      <w:r>
        <w:rPr/>
        <w:t xml:space="preserve"> registra as ações administrativas na conta, com histórico de 90 dias sem custo. O </w:t>
      </w:r>
      <w:r>
        <w:rPr>
          <w:b/>
          <w:bCs/>
        </w:rPr>
        <w:t>AWS Budgets</w:t>
      </w:r>
      <w:r>
        <w:rPr/>
        <w:t xml:space="preserve"> e o alarme de faturamento compõem o plano da Seção 2.2.</w:t>
      </w:r>
      <w:bookmarkEnd w:id="10"/>
    </w:p>
    <w:p>
      <w:pPr>
        <w:pStyle w:val="Heading3"/>
        <w:rPr/>
      </w:pPr>
      <w:bookmarkStart w:id="11" w:name="serviços-deliberadamente-não-utilizados"/>
      <w:r>
        <w:rPr/>
        <w:t>1.2.6 Serviços deliberadamente não utilizados</w:t>
      </w:r>
    </w:p>
    <w:p>
      <w:pPr>
        <w:pStyle w:val="FirstParagraph"/>
        <w:jc w:val="both"/>
        <w:rPr/>
      </w:pPr>
      <w:r>
        <w:rPr/>
        <w:t xml:space="preserve">Tão importante quanto a lista de serviços escolhidos é a dos evitados, porque são eles os responsáveis usuais por cobrança inesperada: NAT Gateway e VPC com sub-redes privadas (cobrança por hora; desnecessários sem integração de rede, DE-01); bancos em instância, como RDS (ligados 24 horas); chaves gerenciadas pelo cliente no AWS KMS (US$ 1 por chave por mês, sem cota gratuita de armazenamento de chave); concorrência provisionada no Lambda (cobrança por tempo reservado); o modo sob demanda do DynamoDB (não coberto pela cota gratuita, que se aplica ao modo provisionado); envio de SMS para segundo fator (pago por mensagem); e o nível </w:t>
      </w:r>
      <w:r>
        <w:rPr>
          <w:i/>
          <w:iCs/>
        </w:rPr>
        <w:t>Plus</w:t>
      </w:r>
      <w:r>
        <w:rPr/>
        <w:t xml:space="preserve"> do Cognito (sem cota gratuita).</w:t>
      </w:r>
      <w:bookmarkEnd w:id="1"/>
      <w:bookmarkEnd w:id="4"/>
      <w:bookmarkEnd w:id="11"/>
    </w:p>
    <w:p>
      <w:pPr>
        <w:pStyle w:val="Heading1"/>
        <w:rPr/>
      </w:pPr>
      <w:bookmarkStart w:id="12" w:name="X6b91e373b1ef87891cb5f88601ac584a7ba2887"/>
      <w:r>
        <w:rPr/>
        <w:t>2. Matriz de Viabilidade Financeira e Gestão de Limites (Free Tier)</w:t>
      </w:r>
    </w:p>
    <w:p>
      <w:pPr>
        <w:pStyle w:val="Heading2"/>
        <w:rPr/>
      </w:pPr>
      <w:bookmarkStart w:id="13" w:name="X429ddd7d36c58455e1020c7ed0049d2f7aa70f2"/>
      <w:r>
        <w:rPr/>
        <w:t>2.1 Mapeamento de cotas e limites do provedor</w:t>
      </w:r>
    </w:p>
    <w:p>
      <w:pPr>
        <w:pStyle w:val="Heading3"/>
        <w:rPr/>
      </w:pPr>
      <w:bookmarkStart w:id="14" w:name="o-modelo-de-free-tier-vigente"/>
      <w:r>
        <w:rPr/>
        <w:t>2.1.1 O modelo de Free Tier vigente</w:t>
      </w:r>
    </w:p>
    <w:p>
      <w:pPr>
        <w:pStyle w:val="FirstParagraph"/>
        <w:jc w:val="both"/>
        <w:rPr/>
      </w:pPr>
      <w:r>
        <w:rPr/>
        <w:t>O roteiro cita cotas “contínuas ou de 12 meses”, como “AWS S3 5 GB”. Na conferência das fontes oficiais, o grupo constatou que esse modelo mudou. Segundo o comunicado da AWS de 15/07/2025, contas criadas a partir dessa data entram em um novo programa: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Plano gratuito (</w:t>
      </w:r>
      <w:r>
        <w:rPr>
          <w:b/>
          <w:bCs/>
          <w:i/>
          <w:iCs/>
        </w:rPr>
        <w:t>Free Plan</w:t>
      </w:r>
      <w:r>
        <w:rPr>
          <w:b/>
          <w:bCs/>
        </w:rPr>
        <w:t>)</w:t>
      </w:r>
      <w:r>
        <w:rPr/>
        <w:t xml:space="preserve">: US$ 100 em créditos na criação da conta e até US$ 100 adicionais por atividades de exploração; validade de 6 meses ou até o fim dos créditos, o que ocorrer primeiro. A documentação afirma que, nesse plano, a conta </w:t>
      </w:r>
      <w:r>
        <w:rPr>
          <w:b/>
          <w:bCs/>
        </w:rPr>
        <w:t>não gera cobrança</w:t>
      </w:r>
      <w:r>
        <w:rPr/>
        <w:t xml:space="preserve"> enquanto não for convertida em plano pago.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Cotas permanentes (</w:t>
      </w:r>
      <w:r>
        <w:rPr>
          <w:b/>
          <w:bCs/>
          <w:i/>
          <w:iCs/>
        </w:rPr>
        <w:t>Always Free</w:t>
      </w:r>
      <w:r>
        <w:rPr>
          <w:b/>
          <w:bCs/>
        </w:rPr>
        <w:t>)</w:t>
      </w:r>
      <w:r>
        <w:rPr/>
        <w:t>: mais de 30 serviços mantêm limites mensais gratuitos nos dois planos, sem prazo.</w:t>
      </w:r>
    </w:p>
    <w:p>
      <w:pPr>
        <w:pStyle w:val="Compact"/>
        <w:numPr>
          <w:ilvl w:val="0"/>
          <w:numId w:val="2"/>
        </w:numPr>
        <w:jc w:val="both"/>
        <w:rPr/>
      </w:pPr>
      <w:r>
        <w:rPr>
          <w:b/>
          <w:bCs/>
        </w:rPr>
        <w:t>Contas anteriores a 15/07/2025</w:t>
      </w:r>
      <w:r>
        <w:rPr/>
        <w:t xml:space="preserve"> permanecem no programa antigo, com as ofertas de 12 meses. Como toda conta desse grupo já tem mais de 12 meses em outubro de 2026, essas ofertas — entre elas os 5 GB do S3 e o primeiro milhão de chamadas do API Gateway — estão vencidas para qualquer conta que o grupo pudesse usar.</w:t>
      </w:r>
    </w:p>
    <w:p>
      <w:pPr>
        <w:pStyle w:val="FirstParagraph"/>
        <w:jc w:val="both"/>
        <w:rPr/>
      </w:pPr>
      <w:r>
        <w:rPr/>
        <w:t xml:space="preserve">A consequência prática é que hoje existem só duas situações possíveis, e a PoC foi desenhada para a mais segura delas: uma </w:t>
      </w:r>
      <w:r>
        <w:rPr>
          <w:b/>
          <w:bCs/>
        </w:rPr>
        <w:t>conta nova, dedicada, no plano gratuito</w:t>
      </w:r>
      <w:r>
        <w:rPr/>
        <w:t xml:space="preserve"> [PREMISSA]. Nela, a garantia de custo zero tem duas camadas independentes. A primeira é a arquitetura: todos os serviços medidos por uso, com exceção de dois, operam inteiramente dentro de cotas permanentes. A segunda é o próprio plano: os dois serviços sem cota permanente (S3 e API Gateway) consomem créditos, não dinheiro, e o plano gratuito não emite fatura. O prazo de 6 meses cobre com folga o calendário da disciplina, cuja última entrega é em 03/12/2026.</w:t>
      </w:r>
      <w:bookmarkEnd w:id="14"/>
    </w:p>
    <w:p>
      <w:pPr>
        <w:pStyle w:val="Heading3"/>
        <w:rPr/>
      </w:pPr>
      <w:bookmarkStart w:id="15" w:name="volume-estimado-da-schulz"/>
      <w:r>
        <w:rPr/>
        <w:t>2.1.2 Volume estimado da Schulz</w:t>
      </w:r>
    </w:p>
    <w:p>
      <w:pPr>
        <w:pStyle w:val="FirstParagraph"/>
        <w:jc w:val="both"/>
        <w:rPr/>
      </w:pPr>
      <w:r>
        <w:rPr/>
        <w:t xml:space="preserve">As estimativas partem do volume da AV01: cerca de 137 certificados por ano, ou 12 por mês [PREMISSA, PV-05]. Para cada serviço, a matriz mostra também um </w:t>
      </w:r>
      <w:r>
        <w:rPr>
          <w:b/>
          <w:bCs/>
        </w:rPr>
        <w:t>cenário de estresse de 10 vezes</w:t>
      </w:r>
      <w:r>
        <w:rPr/>
        <w:t xml:space="preserve"> esse volume (120 certificados por mês), que cobre a extensão da solução a outras famílias de instrumentos e os testes do grupo. Consumo por certificado emitido: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5337"/>
        <w:gridCol w:w="1684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Grandeza</w:t>
            </w:r>
          </w:p>
        </w:tc>
        <w:tc>
          <w:tcPr>
            <w:tcW w:w="53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Composição</w:t>
            </w:r>
          </w:p>
        </w:tc>
        <w:tc>
          <w:tcPr>
            <w:tcW w:w="16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Por certificado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Invocações de função</w:t>
            </w:r>
          </w:p>
        </w:tc>
        <w:tc>
          <w:tcPr>
            <w:tcW w:w="533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 ingestão + 2 gerações de PDF (minuta e definitivo) + 10 chamadas de API</w:t>
            </w:r>
          </w:p>
        </w:tc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13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Tempo de computação</w:t>
            </w:r>
          </w:p>
        </w:tc>
        <w:tc>
          <w:tcPr>
            <w:tcW w:w="533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Ingestão: 1 GB × 8 s; PDF: 1 GB × 6 s × 2; API: 0,25 GB × 0,3 s × 10</w:t>
            </w:r>
          </w:p>
        </w:tc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Armazenamento permanente no S3</w:t>
            </w:r>
          </w:p>
        </w:tc>
        <w:tc>
          <w:tcPr>
            <w:tcW w:w="533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Planilha original (teto de 250 KB) + PDF definitivo (120 KB)</w:t>
            </w:r>
          </w:p>
        </w:tc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370 KB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Requisições ao S3</w:t>
            </w:r>
          </w:p>
        </w:tc>
        <w:tc>
          <w:tcPr>
            <w:tcW w:w="533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 envio, 1 leitura, 2 gravações de PDF, 4 downloads</w:t>
            </w:r>
          </w:p>
        </w:tc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8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Itens no DynamoDB</w:t>
            </w:r>
          </w:p>
        </w:tc>
        <w:tc>
          <w:tcPr>
            <w:tcW w:w="533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23 itens de negócio + cerca de 15 eventos de auditoria</w:t>
            </w:r>
          </w:p>
        </w:tc>
        <w:tc>
          <w:tcPr>
            <w:tcW w:w="16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≈ 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30 KB</w:t>
            </w:r>
          </w:p>
        </w:tc>
      </w:tr>
    </w:tbl>
    <w:p>
      <w:pPr>
        <w:pStyle w:val="BodyText"/>
        <w:jc w:val="both"/>
        <w:rPr/>
      </w:pPr>
      <w:bookmarkStart w:id="16" w:name="volume-estimado-da-schulz"/>
      <w:r>
        <w:rPr/>
        <w:t>Os tamanhos de arquivo vêm dos artefatos reais: a planilha de cálculo tem 201 KB, o relatório da MMC 26 KB e o certificado emitido 115 KB. Os tempos de execução são tetos estimados a partir do RNF-01 e do RNF-02 e serão substituídos por medição na Entrega 03.</w:t>
      </w:r>
      <w:bookmarkEnd w:id="16"/>
    </w:p>
    <w:p>
      <w:pPr>
        <w:pStyle w:val="Heading3"/>
        <w:rPr/>
      </w:pPr>
      <w:bookmarkStart w:id="17" w:name="matriz-de-cotas-consumo-e-folga"/>
      <w:r>
        <w:rPr/>
        <w:t>2.1.3 Matriz de cotas, consumo e folga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16"/>
        <w:gridCol w:w="2059"/>
        <w:gridCol w:w="1404"/>
        <w:gridCol w:w="1685"/>
        <w:gridCol w:w="1591"/>
        <w:gridCol w:w="1404"/>
      </w:tblGrid>
      <w:tr>
        <w:trPr>
          <w:tblHeader w:val="true"/>
        </w:trPr>
        <w:tc>
          <w:tcPr>
            <w:tcW w:w="12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Serviço</w:t>
            </w:r>
          </w:p>
        </w:tc>
        <w:tc>
          <w:tcPr>
            <w:tcW w:w="20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Cota gratuita mensal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Natureza da cota</w:t>
            </w:r>
          </w:p>
        </w:tc>
        <w:tc>
          <w:tcPr>
            <w:tcW w:w="16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Consumo estimado (12 cert./mês)</w:t>
            </w:r>
          </w:p>
        </w:tc>
        <w:tc>
          <w:tcPr>
            <w:tcW w:w="15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Cenário 10× (120 cert./mês)</w:t>
            </w:r>
          </w:p>
        </w:tc>
        <w:tc>
          <w:tcPr>
            <w:tcW w:w="140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Uso da cota (10×)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AWS Lambda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1.000.000 de requisições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Permanente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156 requisições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1.560 requisições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0,16%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AWS Lambda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400.000 GB-segundo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Permanente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252 GB-s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2.520 GB-s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0,63%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DynamoDB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25 GB de armazenamento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Permanente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0,36 MB/mês; 21,6 MB em 5 anos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216 MB em 5 anos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0,86%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DynamoDB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25 unidades de leitura e 25 de escrita provisionadas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Permanente (modo provisionado)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23 e 23 alocadas (Seção 3.2)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23 e 23 alocadas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92% alocado; teto fixo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Cognito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10.000 usuários ativos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Permanente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até 10 usuários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até 30 usuários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0,30%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SQS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1.000.000 de requisições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Permanente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menos de 100 (apenas falhas)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menos de 1.000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0,10%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SNS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1.000.000 de requisições e 1.000 e-mails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Permanente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menos de 50 e-mails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menos de 300 e-mails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30% dos e-mails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CloudWatch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10 alarmes, 10 métricas customizadas, 5 GB de logs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Permanente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5 alarmes; 0 métrica customizada; cerca de 0,5 MB de logs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5 alarmes; cerca de 5 MB de logs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50% dos alarmes; 0,1% dos logs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AWS Budgets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Monitoramento gratuito; 2 orçamentos com ação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Permanente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2 orçamentos, 1 com ação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igual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dentro da cota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S3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Sem cota permanente para conta nova (5 GB só no programa antigo, por 12 meses)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Créditos do plano gratuito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4,4 MB/mês; 96 requisições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44 MB/mês; 960 requisições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ver 2.1.4</w:t>
            </w:r>
          </w:p>
        </w:tc>
      </w:tr>
      <w:tr>
        <w:trPr/>
        <w:tc>
          <w:tcPr>
            <w:tcW w:w="12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API Gateway</w:t>
            </w:r>
          </w:p>
        </w:tc>
        <w:tc>
          <w:tcPr>
            <w:tcW w:w="20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Sem cota permanente (1 milhão de chamadas só no programa antigo, por 12 meses)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Créditos do plano gratuito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120 chamadas</w:t>
            </w:r>
          </w:p>
        </w:tc>
        <w:tc>
          <w:tcPr>
            <w:tcW w:w="15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1.200 chamadas</w:t>
            </w:r>
          </w:p>
        </w:tc>
        <w:tc>
          <w:tcPr>
            <w:tcW w:w="1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ver 2.1.4</w:t>
            </w:r>
          </w:p>
        </w:tc>
      </w:tr>
    </w:tbl>
    <w:p>
      <w:pPr>
        <w:pStyle w:val="BodyText"/>
        <w:jc w:val="both"/>
        <w:rPr/>
      </w:pPr>
      <w:bookmarkStart w:id="18" w:name="matriz-de-cotas-consumo-e-folga"/>
      <w:r>
        <w:rPr/>
        <w:t>Leitura da matriz: mesmo no cenário de estresse, nenhum serviço medido por uso passa de 1% da cota. A única linha próxima do limite é a capacidade provisionada do DynamoDB, e isso é intencional — ali a cota não é um consumo que varia, é um teto que o grupo aloca. Capacidade provisionada não “estoura”: quando a demanda supera o alocado, o serviço recusa a requisição excedente em vez de cobrar por ela. O armazenamento projetado para 5 anos de retenção (DE-04) é de cerca de 270 MB no S3 e 22 MB no DynamoDB.</w:t>
      </w:r>
      <w:bookmarkEnd w:id="18"/>
    </w:p>
    <w:p>
      <w:pPr>
        <w:pStyle w:val="Heading3"/>
        <w:rPr/>
      </w:pPr>
      <w:bookmarkStart w:id="19" w:name="X7bdca42a5b86f642b52cafefed8f9b7125521ff"/>
      <w:r>
        <w:rPr/>
        <w:t>2.1.4 Consumo de créditos pelos serviços sem cota permanente</w:t>
      </w:r>
    </w:p>
    <w:p>
      <w:pPr>
        <w:pStyle w:val="FirstParagraph"/>
        <w:jc w:val="both"/>
        <w:rPr/>
      </w:pPr>
      <w:r>
        <w:rPr/>
        <w:t xml:space="preserve">Para S3 e API Gateway, o grupo calculou o consumo de créditos com </w:t>
      </w:r>
      <w:r>
        <w:rPr>
          <w:b/>
          <w:bCs/>
        </w:rPr>
        <w:t>tarifas-teto</w:t>
      </w:r>
      <w:r>
        <w:rPr/>
        <w:t>, propositalmente acima das tarifas públicas, para que a conclusão não dependa de centavos [VALIDAR na AWS Pricing Calculator para sa-east-1 antes da implantação]: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20"/>
        <w:gridCol w:w="2621"/>
        <w:gridCol w:w="2246"/>
        <w:gridCol w:w="1872"/>
      </w:tblGrid>
      <w:tr>
        <w:trPr>
          <w:tblHeader w:val="true"/>
        </w:trPr>
        <w:tc>
          <w:tcPr>
            <w:tcW w:w="26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Item</w:t>
            </w:r>
          </w:p>
        </w:tc>
        <w:tc>
          <w:tcPr>
            <w:tcW w:w="26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Quantidade na PoC (teto)</w:t>
            </w:r>
          </w:p>
        </w:tc>
        <w:tc>
          <w:tcPr>
            <w:tcW w:w="22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Tarifa-teto adotada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Créditos por mês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Armazenamento no S3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0,2 GB (inclui arquivos de teste)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US$ 0,05 por GB-mês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US$ 0,010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Requisições ao S3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1.000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US$ 0,01 por mil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US$ 0,010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Chamadas ao API Gateway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5.000 (inclui navegação e testes)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US$ 1,50 por milhão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US$ 0,008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Total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 xml:space="preserve">≈ </w:t>
            </w: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US$ 0,03</w:t>
            </w:r>
          </w:p>
        </w:tc>
      </w:tr>
    </w:tbl>
    <w:p>
      <w:pPr>
        <w:pStyle w:val="BodyText"/>
        <w:jc w:val="both"/>
        <w:rPr/>
      </w:pPr>
      <w:r>
        <w:rPr/>
        <w:t xml:space="preserve">Em 6 meses, o consumo acumulado é de aproximadamente US$ 0,17, ou 0,17% dos US$ 100 de crédito inicial. Valor faturado no período: </w:t>
      </w:r>
      <w:r>
        <w:rPr>
          <w:b/>
          <w:bCs/>
        </w:rPr>
        <w:t>R$ 0,00</w:t>
      </w:r>
      <w:r>
        <w:rPr/>
        <w:t>. Depois da PoC, se a Schulz levar a solução a um plano pago, o custo recorrente desses dois serviços com 5 anos de acervo fica na ordem de US$ 0,02 por mês; todo o restante continua em cota permanente.</w:t>
      </w:r>
      <w:bookmarkEnd w:id="13"/>
      <w:bookmarkEnd w:id="19"/>
    </w:p>
    <w:p>
      <w:pPr>
        <w:pStyle w:val="Heading2"/>
        <w:rPr/>
      </w:pPr>
      <w:bookmarkStart w:id="20" w:name="Xf9e62e0922a1661bb5fe63641ed19b54bc5c520"/>
      <w:r>
        <w:rPr/>
        <w:t>2.2 Plano de monitoramento de custos e alertas (Billing Alerts)</w:t>
      </w:r>
    </w:p>
    <w:p>
      <w:pPr>
        <w:pStyle w:val="FirstParagraph"/>
        <w:jc w:val="both"/>
        <w:rPr/>
      </w:pPr>
      <w:r>
        <w:rPr/>
        <w:t>O plano tem quatro linhas de defesa. A ideia é que o estouro da camada gratuita precise atravessar todas elas para acontecer, e que cada uma falhe de forma visível.</w:t>
      </w:r>
    </w:p>
    <w:p>
      <w:pPr>
        <w:pStyle w:val="Heading3"/>
        <w:rPr/>
      </w:pPr>
      <w:bookmarkStart w:id="21" w:name="primeira-linha-o-plano-da-conta"/>
      <w:r>
        <w:rPr/>
        <w:t>2.2.1 Primeira linha — o plano da conta</w:t>
      </w:r>
    </w:p>
    <w:p>
      <w:pPr>
        <w:pStyle w:val="FirstParagraph"/>
        <w:jc w:val="both"/>
        <w:rPr/>
      </w:pPr>
      <w:r>
        <w:rPr/>
        <w:t xml:space="preserve">A PoC roda em conta dedicada no plano gratuito. Nessa modalidade não há cobrança: se os créditos acabarem, a conta é suspensa e os dados ficam retidos por 90 dias, em vez de gerar fatura. Para o objetivo desta entrega, isso converte o risco financeiro em risco de disponibilidade, que é aceitável em uma PoC e é coberto pelos alertas abaixo. A conta dedicada também isola a PoC de qualquer outro uso: tudo o que aparecer no painel de custos pertence ao projeto. Regra operacional: </w:t>
      </w:r>
      <w:r>
        <w:rPr>
          <w:b/>
          <w:bCs/>
        </w:rPr>
        <w:t>a conta não é convertida em plano pago durante a PoC</w:t>
      </w:r>
      <w:r>
        <w:rPr/>
        <w:t>, e a conversão exige decisão registrada do grupo.</w:t>
      </w:r>
      <w:bookmarkEnd w:id="21"/>
    </w:p>
    <w:p>
      <w:pPr>
        <w:pStyle w:val="Heading3"/>
        <w:rPr/>
      </w:pPr>
      <w:r>
        <w:rPr/>
        <w:t>2.2.2 Segunda linha — limites embutidos na arquitetura</w:t>
      </w:r>
    </w:p>
    <w:p>
      <w:pPr>
        <w:pStyle w:val="FirstParagraph"/>
        <w:rPr/>
      </w:pPr>
      <w:r>
        <w:rPr/>
        <w:t>São controles que impedem o consumo, e não apenas o avisam: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369"/>
        <w:gridCol w:w="5990"/>
      </w:tblGrid>
      <w:tr>
        <w:trPr>
          <w:tblHeader w:val="true"/>
        </w:trPr>
        <w:tc>
          <w:tcPr>
            <w:tcW w:w="33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Controle</w:t>
            </w:r>
          </w:p>
        </w:tc>
        <w:tc>
          <w:tcPr>
            <w:tcW w:w="5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Efeito sobre o custo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Buckets separados para entrada e saída</w:t>
            </w:r>
          </w:p>
        </w:tc>
        <w:tc>
          <w:tcPr>
            <w:tcW w:w="599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Impede que uma função se dispare em ciclo, o cenário mais comum de consumo descontrolado.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DynamoDB em modo provisionado, sem escalonamento automático</w:t>
            </w:r>
          </w:p>
        </w:tc>
        <w:tc>
          <w:tcPr>
            <w:tcW w:w="599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Capacidade fixa em 23 unidades; demanda excedente é recusada, não cobrada.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Tempo limite por função (30 s na ingestão e no PDF; 5 s na API)</w:t>
            </w:r>
          </w:p>
        </w:tc>
        <w:tc>
          <w:tcPr>
            <w:tcW w:w="599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Uma execução travada não consome além do teto; o padrão do RNF-01 é 5 s.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No máximo 2 novas tentativas por evento</w:t>
            </w:r>
          </w:p>
        </w:tc>
        <w:tc>
          <w:tcPr>
            <w:tcW w:w="599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Um arquivo defeituoso gera no máximo 3 execuções antes de ir para a fila de falhas.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Limite de taxa no API Gateway (10 requisições por segundo por rota)</w:t>
            </w:r>
          </w:p>
        </w:tc>
        <w:tc>
          <w:tcPr>
            <w:tcW w:w="599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Um cliente defeituoso ou mal-intencionado não gera volume de chamadas relevante.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Upload limitado a 5 MB e a um prefixo</w:t>
            </w:r>
          </w:p>
        </w:tc>
        <w:tc>
          <w:tcPr>
            <w:tcW w:w="599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Ninguém usa a autorização de upload para armazenar arquivos grandes.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Retenção de logs em 30 dias</w:t>
            </w:r>
          </w:p>
        </w:tc>
        <w:tc>
          <w:tcPr>
            <w:tcW w:w="599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Os logs não crescem indefinidamente contra a cota de 5 GB.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Regras de ciclo de vida no S3</w:t>
            </w:r>
          </w:p>
        </w:tc>
        <w:tc>
          <w:tcPr>
            <w:tcW w:w="599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Minutas, quarentena, versões antigas e uploads incompletos são removidos automaticamente.</w:t>
            </w:r>
            <w:bookmarkStart w:id="22" w:name="X99eae7959dc8b08aed39d2890fa70d73d989287"/>
            <w:bookmarkEnd w:id="22"/>
          </w:p>
        </w:tc>
      </w:tr>
    </w:tbl>
    <w:p>
      <w:pPr>
        <w:pStyle w:val="Heading3"/>
        <w:rPr/>
      </w:pPr>
      <w:r>
        <w:rPr/>
        <w:t>2.2.3 Terceira linha — alertas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61"/>
        <w:gridCol w:w="2245"/>
        <w:gridCol w:w="3933"/>
        <w:gridCol w:w="2620"/>
      </w:tblGrid>
      <w:tr>
        <w:trPr>
          <w:tblHeader w:val="true"/>
        </w:trPr>
        <w:tc>
          <w:tcPr>
            <w:tcW w:w="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#</w:t>
            </w:r>
          </w:p>
        </w:tc>
        <w:tc>
          <w:tcPr>
            <w:tcW w:w="22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Mecanismo</w:t>
            </w:r>
          </w:p>
        </w:tc>
        <w:tc>
          <w:tcPr>
            <w:tcW w:w="39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Configuração</w:t>
            </w:r>
          </w:p>
        </w:tc>
        <w:tc>
          <w:tcPr>
            <w:tcW w:w="26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Ação ao disparar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A-1</w:t>
            </w:r>
          </w:p>
        </w:tc>
        <w:tc>
          <w:tcPr>
            <w:tcW w:w="2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AWS Budgets — orçamento de gasto zero</w:t>
            </w:r>
          </w:p>
        </w:tc>
        <w:tc>
          <w:tcPr>
            <w:tcW w:w="393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Modelo </w:t>
            </w:r>
            <w:r>
              <w:rPr>
                <w:rFonts w:eastAsia="Cambria" w:cs=""/>
                <w:i/>
                <w:iCs/>
                <w:kern w:val="0"/>
                <w:sz w:val="16"/>
                <w:szCs w:val="16"/>
                <w:lang w:val="pt-BR" w:eastAsia="en-US" w:bidi="ar-SA"/>
              </w:rPr>
              <w:t>Zero spend budget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: notifica quando o gasto real passa de US$ 0,01.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E-mail aos três integrantes; abre o procedimento 2.2.5.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A-2</w:t>
            </w:r>
          </w:p>
        </w:tc>
        <w:tc>
          <w:tcPr>
            <w:tcW w:w="2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AWS Budgets — orçamento mensal de custo com ação</w:t>
            </w:r>
          </w:p>
        </w:tc>
        <w:tc>
          <w:tcPr>
            <w:tcW w:w="393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Limite de US$ 1,00 por mês, com alertas em 50% do gasto previsto e em 100% do gasto real.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E-mail; em 100%, ação automática de bloqueio.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A-3</w:t>
            </w:r>
          </w:p>
        </w:tc>
        <w:tc>
          <w:tcPr>
            <w:tcW w:w="2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Alertas de uso do Free Tier</w:t>
            </w:r>
          </w:p>
        </w:tc>
        <w:tc>
          <w:tcPr>
            <w:tcW w:w="393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Ativados nas preferências de faturamento; a AWS avisa quando o uso atinge 85% de uma cota.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E-mail; revisão do serviço apontado.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A-4</w:t>
            </w:r>
          </w:p>
        </w:tc>
        <w:tc>
          <w:tcPr>
            <w:tcW w:w="2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Alarme de faturamento no CloudWatch</w:t>
            </w:r>
          </w:p>
        </w:tc>
        <w:tc>
          <w:tcPr>
            <w:tcW w:w="393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Métrica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EstimatedCharges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(namespace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AWS/Billing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), limiar maior que US$ 0, criado na região us-east-1, onde a métrica é publicada.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Publica no tópico SNS de custos.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A-5</w:t>
            </w:r>
          </w:p>
        </w:tc>
        <w:tc>
          <w:tcPr>
            <w:tcW w:w="2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Alarmes operacionais no CloudWatch</w:t>
            </w:r>
          </w:p>
        </w:tc>
        <w:tc>
          <w:tcPr>
            <w:tcW w:w="393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Mensagens na fila de falhas &gt; 0; erros das funções de pipeline &gt; 0; requisições recusadas no DynamoDB &gt; 0.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Publica no tópico SNS de operação.</w:t>
            </w:r>
          </w:p>
        </w:tc>
      </w:tr>
    </w:tbl>
    <w:p>
      <w:pPr>
        <w:pStyle w:val="BodyText"/>
        <w:jc w:val="both"/>
        <w:rPr/>
      </w:pPr>
      <w:r>
        <w:rPr/>
        <w:t>Os alarmes operacionais entram no plano de custos porque são sinais antecipados: erro repetido e requisição recusada indicam consumo anormal antes de ele aparecer no faturamento, que não é atualizado em tempo real. A ação automática do alerta A-2 aplica aos papéis das funções uma política de negação temporária, de modo que o pipeline pare de executar até a revisão humana; a AWS inclui dois orçamentos com ação sem custo. Os dois orçamentos são configurados para medir o custo antes do abatimento de créditos, pois é o consumo de créditos, e não a fatura, o que precisa ficar visível no plano gratuito. O total é de 5 alarmes, dentro dos 10 gratuitos.</w:t>
      </w:r>
    </w:p>
    <w:p>
      <w:pPr>
        <w:pStyle w:val="Heading3"/>
        <w:rPr/>
      </w:pPr>
      <w:bookmarkStart w:id="23" w:name="configuração-prática"/>
      <w:r>
        <w:rPr/>
        <w:t>2.2.4 Configuração prática</w:t>
      </w:r>
    </w:p>
    <w:p>
      <w:pPr>
        <w:pStyle w:val="FirstParagraph"/>
        <w:jc w:val="both"/>
        <w:rPr/>
      </w:pPr>
      <w:r>
        <w:rPr/>
        <w:t xml:space="preserve">A sequência de implantação, a ser executada na criação da conta e antes de qualquer recurso do pipeline, é: (1) ativar o segundo fator no usuário raiz e criar os usuários administrativos do grupo; (2) nas preferências de faturamento, ativar os alertas de uso do Free Tier e o recebimento de alertas de faturamento pelo CloudWatch; (3) criar o tópico SNS de custos e confirmar a assinatura dos três e-mails; (4) criar os orçamentos A-1 e A-2; (5) criar o alarme A-4 em us-east-1; (6) só então criar buckets, tabelas e funções; (7) registrar em </w:t>
      </w:r>
      <w:r>
        <w:rPr>
          <w:rStyle w:val="VerbatimChar"/>
        </w:rPr>
        <w:t>evidencias/</w:t>
      </w:r>
      <w:r>
        <w:rPr/>
        <w:t xml:space="preserve"> as capturas de tela de cada item. A criação do primeiro orçamento é, além disso, uma das atividades que a AWS recompensa com crédito adicional. As capturas de tela serão anexadas quando a conta for criada [VALIDAR — ver PV-17].</w:t>
      </w:r>
      <w:bookmarkEnd w:id="23"/>
    </w:p>
    <w:p>
      <w:pPr>
        <w:pStyle w:val="Heading3"/>
        <w:rPr/>
      </w:pPr>
      <w:bookmarkStart w:id="24" w:name="quarta-linha-rotina-e-resposta"/>
      <w:r>
        <w:rPr/>
        <w:t>2.2.5 Quarta linha — rotina e resposta</w:t>
      </w:r>
    </w:p>
    <w:p>
      <w:pPr>
        <w:pStyle w:val="FirstParagraph"/>
        <w:jc w:val="both"/>
        <w:rPr/>
      </w:pPr>
      <w:bookmarkStart w:id="25" w:name="X6b91e373b1ef87891cb5f88601ac584a7ba2887"/>
      <w:bookmarkStart w:id="26" w:name="Xf9e62e0922a1661bb5fe63641ed19b54bc5c520"/>
      <w:bookmarkStart w:id="27" w:name="quarta-linha-rotina-e-resposta"/>
      <w:r>
        <w:rPr/>
        <w:t>Um integrante do grupo, em rodízio semanal, confere toda segunda-feira o painel de faturamento, a página de uso do Free Tier e o saldo de créditos, e registra o resultado em uma linha no repositório. Se qualquer alerta de custo disparar, o procedimento é: (1) identificar o serviço no explorador de custos; (2) interromper a origem — desativar o gatilho do bucket ou a rota afetada; (3) conferir a fila de falhas e os logs do período; (4) corrigir a causa e registrar o ocorrido no repositório; (5) reativar. Ao fim da PoC, os recursos são removidos e a conta é encerrada, salvo decisão da Schulz de assumir o ambiente.</w:t>
      </w:r>
      <w:bookmarkEnd w:id="25"/>
      <w:bookmarkEnd w:id="26"/>
      <w:bookmarkEnd w:id="27"/>
    </w:p>
    <w:p>
      <w:pPr>
        <w:pStyle w:val="Heading1"/>
        <w:rPr/>
      </w:pPr>
      <w:bookmarkStart w:id="28" w:name="X78dffc31831ecca4541e832cd945ca4fb453074"/>
      <w:r>
        <w:rPr/>
        <w:t>3. Pipeline de Ingestão e Processamento Serverless (ETL na Nuvem)</w:t>
      </w:r>
    </w:p>
    <w:p>
      <w:pPr>
        <w:pStyle w:val="Heading2"/>
        <w:rPr/>
      </w:pPr>
      <w:bookmarkStart w:id="29" w:name="X4c69946b7d9a3c8c97f80c9bc348abc313901a2"/>
      <w:r>
        <w:rPr/>
        <w:t>3.1 Desenho do pipeline de ingestão e emissão</w:t>
      </w:r>
    </w:p>
    <w:p>
      <w:pPr>
        <w:pStyle w:val="Heading3"/>
        <w:rPr/>
      </w:pPr>
      <w:bookmarkStart w:id="30" w:name="princípios-do-desenho"/>
      <w:r>
        <w:rPr/>
        <w:t>3.1.1 Princípios do desenho</w:t>
      </w:r>
    </w:p>
    <w:p>
      <w:pPr>
        <w:pStyle w:val="FirstParagraph"/>
        <w:jc w:val="both"/>
        <w:rPr/>
      </w:pPr>
      <w:r>
        <w:rPr/>
        <w:t xml:space="preserve">O pipeline segue a arquitetura orientada a eventos descrita na definição DE-02 e três princípios derivados da AV01. </w:t>
      </w:r>
      <w:r>
        <w:rPr>
          <w:b/>
          <w:bCs/>
        </w:rPr>
        <w:t>Nada é digitado</w:t>
      </w:r>
      <w:r>
        <w:rPr/>
        <w:t xml:space="preserve">: o único dado que entra é o arquivo (RN-26), o que elimina a transposição manual de 28 valores por certificado (D-02). </w:t>
      </w:r>
      <w:r>
        <w:rPr>
          <w:b/>
          <w:bCs/>
        </w:rPr>
        <w:t>Nada é perdido em silêncio</w:t>
      </w:r>
      <w:r>
        <w:rPr/>
        <w:t xml:space="preserve">: todo arquivo termina em um de três estados visíveis — processado, em quarentena ou em falha — em oposição ao truncamento sem aviso da planilha atual (AN-03). </w:t>
      </w:r>
      <w:r>
        <w:rPr>
          <w:b/>
          <w:bCs/>
        </w:rPr>
        <w:t>Tudo é reproduzível</w:t>
      </w:r>
      <w:r>
        <w:rPr/>
        <w:t>: o original é preservado e o cálculo é determinístico e versionado, de modo que qualquer certificado pode ser regenerado a partir do arquivo de origem (RNF-04, RN-31).</w:t>
      </w:r>
    </w:p>
    <w:p>
      <w:pPr>
        <w:pStyle w:val="BodyText"/>
        <w:jc w:val="both"/>
        <w:rPr/>
      </w:pPr>
      <w:r>
        <w:rPr/>
        <w:t xml:space="preserve">O contrato de entrada é a pasta de trabalho sanitizada especificada no Tema 01, em </w:t>
      </w:r>
      <w:r>
        <w:rPr>
          <w:rStyle w:val="VerbatimChar"/>
        </w:rPr>
        <w:t>.xlsx</w:t>
      </w:r>
      <w:r>
        <w:rPr/>
        <w:t xml:space="preserve"> (inclusive no formato OOXML Strict dos arquivos reais, RNF-13) ou em CSV, conforme DE-01. Ela traz os blocos de medição e os dados mestres da calibração no layout do modelo unificado. O layout exato de abas e colunas é fixado como contrato na Entrega 03 [PREMISSA].</w:t>
      </w:r>
      <w:bookmarkEnd w:id="30"/>
    </w:p>
    <w:p>
      <w:pPr>
        <w:pStyle w:val="Heading3"/>
        <w:rPr/>
      </w:pPr>
      <w:r>
        <w:rPr/>
        <w:t>3.1.2 Etapas do pipeline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61"/>
        <w:gridCol w:w="1498"/>
        <w:gridCol w:w="2809"/>
        <w:gridCol w:w="2714"/>
        <w:gridCol w:w="1778"/>
      </w:tblGrid>
      <w:tr>
        <w:trPr>
          <w:tblHeader w:val="true"/>
        </w:trPr>
        <w:tc>
          <w:tcPr>
            <w:tcW w:w="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#</w:t>
            </w:r>
          </w:p>
        </w:tc>
        <w:tc>
          <w:tcPr>
            <w:tcW w:w="14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Etapa e componente</w:t>
            </w:r>
          </w:p>
        </w:tc>
        <w:tc>
          <w:tcPr>
            <w:tcW w:w="28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 que acontece</w:t>
            </w:r>
          </w:p>
        </w:tc>
        <w:tc>
          <w:tcPr>
            <w:tcW w:w="271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Tratamento de erro</w:t>
            </w:r>
          </w:p>
        </w:tc>
        <w:tc>
          <w:tcPr>
            <w:tcW w:w="17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Rastreio (AV01)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E1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Autorização de upload — API Gateway e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fn-api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Valida o JWT e o grupo; devolve formulário pré-assinado para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uploads/{id}/{uuid}.xlsx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, válido por 5 min, com limite de 5 MB.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Sem token ou sem perfil: recusa na borda (401 ou 403), sem execução de função.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RNF-05, RN-21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E2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Envio — navegador e S3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 arquivo é gravado diretamente no bucket de entrada por HTTPS, já criptografado em repouso.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Arquivo fora da política (tipo, tamanho, prazo) é recusado pelo próprio S3.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RF-01, RNF-06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E3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Disparo — S3 e Lambda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O evento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s3:ObjectCreated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uploads/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invoca 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fn-ingestao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de forma assíncrona.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Até 2 novas tentativas automáticas; depois, fila de falhas e alerta.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DE-02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E4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Identidade do arquivo —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fn-ingestao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Calcula o SHA-256 e tenta registrar o hash com gravação condicional.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Hash já existente: o evento é encerrado sem efeito e o usuário é informado da duplicata.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RN-20, R-33, R-34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E5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Leitura e validação estrutural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Confere assinatura do relatório, cabeçalho da tabela, presença de dados e número de blocos de medição.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Estrutura fora do contrato: quarentena com o motivo; nada é persistido.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RF-02, AN-05, AN-08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E6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Saneamento e normalização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Aplica as regras R-07 a R-32: sinais de tolerância, datas, números, unidades, decomposição dos nomes das características.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Domínio não resolvido ou campo obrigatório ausente: quarentena. Nome de característica não reconhecido: segue, sinalizado.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RF-03, RF-04, AN-30, AN-31, RN-23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E7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Cálculo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Média, desvio padrão, erro e limites (R-40 a R-45); orçamento de incerteza, veff, k e U (R-48 a R-50), com o orçamento persistido.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Número de leituras diferente do exigido pelo procedimento: quarentena.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RF-06, RF-07, RN-01 a RN-05, RN-10, AN-17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E8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Conformidade e bloqueios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Classifica cada característica e o status global; verifica validade e identidade do padrão.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Padrão vencido ou divergente do relatório: calibração fica bloqueada para emissão, com o motivo registrado.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RF-08, RF-09, RN-06 a RN-09, AN-02, AN-34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E9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Persistência — DynamoDB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Grava a calibração, medições, características com leituras e resultados e os eventos de auditoria, em transação.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Falha na transação: nada é gravado; o evento é reexecutado e, por E4, não duplica.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RF-05, RF-14, RN-22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E10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Geração da minuta —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fn-certificado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Monta o PDF no layout atual, sem limite de características, com paginação calculada, e grava 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minutas/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Texto com marcador não resolvido (XX, YY, 00/00/0000): geração recusada e registrada.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RF-10, RF-11, RN-16, RN-17, AN-01, AN-24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E11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Aprovação —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fn-api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 signatário aprova; a gravação é condicional ao estado e à identidade do aprovador.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Aprovador igual ao técnico, ou calibração fora do estado esperado: recusa (409).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RF-12, RN-12, RN-13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E12</w:t>
            </w:r>
          </w:p>
        </w:tc>
        <w:tc>
          <w:tcPr>
            <w:tcW w:w="149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Emissão —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fn-certificado</w:t>
            </w:r>
          </w:p>
        </w:tc>
        <w:tc>
          <w:tcPr>
            <w:tcW w:w="280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Numera, gera o PDF definitivo, calcula hash e token e grava 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emitidos/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com Object Lock.</w:t>
            </w:r>
          </w:p>
        </w:tc>
        <w:tc>
          <w:tcPr>
            <w:tcW w:w="271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Falha após numerar: a operação é retomada com o mesmo número, sem lacuna nem duplicidade.</w:t>
            </w:r>
          </w:p>
        </w:tc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RF-13, RNF-03, RNF-09, RN-14, RN-15, RN-36</w:t>
            </w:r>
            <w:bookmarkStart w:id="31" w:name="etapas-do-pipeline"/>
            <w:bookmarkEnd w:id="31"/>
          </w:p>
        </w:tc>
      </w:tr>
    </w:tbl>
    <w:p>
      <w:pPr>
        <w:pStyle w:val="Heading3"/>
        <w:rPr/>
      </w:pPr>
      <w:r>
        <w:rPr/>
        <w:t>3.1.3 Garantias do processamento por evento</w:t>
      </w:r>
    </w:p>
    <w:p>
      <w:pPr>
        <w:pStyle w:val="FirstParagraph"/>
        <w:jc w:val="both"/>
        <w:rPr/>
      </w:pPr>
      <w:r>
        <w:rPr>
          <w:b/>
          <w:bCs/>
        </w:rPr>
        <w:t>Idempotência.</w:t>
      </w:r>
      <w:r>
        <w:rPr/>
        <w:t xml:space="preserve"> O S3 entrega eventos com garantia de pelo menos uma vez, e o Lambda pode repetir uma execução que falhou. O pipeline é seguro para repetição por três mecanismos: o hash do arquivo é registrado com gravação condicional (só grava se ainda não existir), de modo que o segundo evento do mesmo arquivo é reconhecido e encerrado; o identificador da calibração é definido antes do upload e está no nome do objeto, o que torna as gravações determinísticas; e a numeração do certificado ocorre na mesma transação que cria o registro do certificado. Reenviar a mesma planilha, por engano ou por repetição do evento, nunca produz um segundo certificado (RN-20).</w:t>
      </w:r>
    </w:p>
    <w:p>
      <w:pPr>
        <w:pStyle w:val="BodyText"/>
        <w:jc w:val="both"/>
        <w:rPr/>
      </w:pPr>
      <w:r>
        <w:rPr>
          <w:b/>
          <w:bCs/>
        </w:rPr>
        <w:t>Quarentena não é falha.</w:t>
      </w:r>
      <w:r>
        <w:rPr/>
        <w:t xml:space="preserve"> O pipeline distingue as duas situações. Quarentena é um resultado de negócio: o arquivo foi lido, está errado e o metrologista precisa corrigi-lo; ele vê o motivo na aplicação e reenvia (UC-06). Falha é um problema técnico: a função não concluiu; o evento vai para a fila de falhas, a equipe técnica é avisada e o reprocessamento consiste em reexecutar o evento guardado na fila. A mistura dessas duas situações é o que torna pipelines difíceis de operar.</w:t>
      </w:r>
    </w:p>
    <w:p>
      <w:pPr>
        <w:pStyle w:val="BodyText"/>
        <w:jc w:val="both"/>
        <w:rPr/>
      </w:pPr>
      <w:r>
        <w:rPr>
          <w:b/>
          <w:bCs/>
        </w:rPr>
        <w:t>Estados.</w:t>
      </w:r>
      <w:r>
        <w:rPr/>
        <w:t xml:space="preserve"> A calibração percorre a máquina de estados da AV01 (RN-13): </w:t>
      </w:r>
      <w:r>
        <w:rPr>
          <w:rStyle w:val="VerbatimChar"/>
        </w:rPr>
        <w:t>IMPORTADO</w:t>
      </w:r>
      <w:r>
        <w:rPr/>
        <w:t xml:space="preserve"> → </w:t>
      </w:r>
      <w:r>
        <w:rPr>
          <w:rStyle w:val="VerbatimChar"/>
        </w:rPr>
        <w:t>CALCULADO</w:t>
      </w:r>
      <w:r>
        <w:rPr/>
        <w:t xml:space="preserve"> → </w:t>
      </w:r>
      <w:r>
        <w:rPr>
          <w:rStyle w:val="VerbatimChar"/>
        </w:rPr>
        <w:t>EM_REVISAO</w:t>
      </w:r>
      <w:r>
        <w:rPr/>
        <w:t xml:space="preserve"> → </w:t>
      </w:r>
      <w:r>
        <w:rPr>
          <w:rStyle w:val="VerbatimChar"/>
        </w:rPr>
        <w:t>EMITIDO</w:t>
      </w:r>
      <w:r>
        <w:rPr/>
        <w:t xml:space="preserve">, com os desvios </w:t>
      </w:r>
      <w:r>
        <w:rPr>
          <w:rStyle w:val="VerbatimChar"/>
        </w:rPr>
        <w:t>QUARENTENA</w:t>
      </w:r>
      <w:r>
        <w:rPr/>
        <w:t xml:space="preserve">, </w:t>
      </w:r>
      <w:r>
        <w:rPr>
          <w:rStyle w:val="VerbatimChar"/>
        </w:rPr>
        <w:t>BLOQUEADO</w:t>
      </w:r>
      <w:r>
        <w:rPr/>
        <w:t xml:space="preserve"> e </w:t>
      </w:r>
      <w:r>
        <w:rPr>
          <w:rStyle w:val="VerbatimChar"/>
        </w:rPr>
        <w:t>CANCELADO</w:t>
      </w:r>
      <w:r>
        <w:rPr/>
        <w:t>. Cada transição é uma gravação condicional ao estado anterior, o que impede, por exemplo, emitir duas vezes ou aprovar uma calibração bloqueada, mesmo com chamadas simultâneas.</w:t>
      </w:r>
    </w:p>
    <w:p>
      <w:pPr>
        <w:pStyle w:val="BodyText"/>
        <w:jc w:val="both"/>
        <w:rPr/>
      </w:pPr>
      <w:r>
        <w:rPr>
          <w:b/>
          <w:bCs/>
        </w:rPr>
        <w:t>Desempenho.</w:t>
      </w:r>
      <w:r>
        <w:rPr/>
        <w:t xml:space="preserve"> O fluxo do upload à minuta é assíncrono e a aplicação consulta o estado da calibração. A meta é RNF-01 (até 5 s para importar e calcular) mais RNF-02 (até 3 s para o PDF). A primeira execução após um período ocioso sofre a partida a frio da função, e o tempo real, com e sem partida a frio, será medido e reportado na Entrega 03.</w:t>
      </w:r>
      <w:bookmarkEnd w:id="29"/>
    </w:p>
    <w:p>
      <w:pPr>
        <w:pStyle w:val="Heading2"/>
        <w:rPr/>
      </w:pPr>
      <w:bookmarkStart w:id="32" w:name="X4c82cad953d4b3159c97f43377b36d186c97c99"/>
      <w:r>
        <w:rPr/>
        <w:t>3.2 Estratégia de persistência e modelagem cloud</w:t>
      </w:r>
    </w:p>
    <w:p>
      <w:pPr>
        <w:pStyle w:val="Heading3"/>
        <w:rPr/>
      </w:pPr>
      <w:bookmarkStart w:id="33" w:name="decisão-e-alternativas"/>
      <w:r>
        <w:rPr/>
        <w:t>3.2.1 Decisão e alternativas</w:t>
      </w:r>
    </w:p>
    <w:p>
      <w:pPr>
        <w:pStyle w:val="FirstParagraph"/>
        <w:jc w:val="both"/>
        <w:rPr/>
      </w:pPr>
      <w:r>
        <w:rPr/>
        <w:t xml:space="preserve">O dicionário de dados da AV01 descreve 17 entidades relacionais, com chaves estrangeiras e restrições de unicidade. A escolha natural seria um banco relacional. O grupo optou pelo </w:t>
      </w:r>
      <w:r>
        <w:rPr>
          <w:b/>
          <w:bCs/>
        </w:rPr>
        <w:t>Amazon DynamoDB</w:t>
      </w:r>
      <w:r>
        <w:rPr/>
        <w:t xml:space="preserve"> e registra a decisão com suas contrapartidas: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72"/>
        <w:gridCol w:w="3369"/>
        <w:gridCol w:w="4119"/>
      </w:tblGrid>
      <w:tr>
        <w:trPr>
          <w:tblHeader w:val="true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Alternativa</w:t>
            </w:r>
          </w:p>
        </w:tc>
        <w:tc>
          <w:tcPr>
            <w:tcW w:w="33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Enquadramento na camada gratuita</w:t>
            </w:r>
          </w:p>
        </w:tc>
        <w:tc>
          <w:tcPr>
            <w:tcW w:w="41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Avaliação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RDS (PostgreSQL em instância)</w:t>
            </w:r>
          </w:p>
        </w:tc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Oferta de 12 meses apenas no programa antigo; em conta nova, consome créditos de forma contínua.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Aderência total ao modelo da AV01, mas instância ligada 24 horas para 12 gravações por mês; exigiria rede privada para acesso seguro a partir do Lambda. </w:t>
            </w: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Descartada.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Aurora Serverless</w:t>
            </w:r>
          </w:p>
        </w:tc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Sem cota permanente; consome créditos.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Elasticidade desnecessária para o volume; mesmo problema de rede. </w:t>
            </w: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Descartada.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Amazon DynamoDB</w:t>
            </w:r>
          </w:p>
        </w:tc>
        <w:tc>
          <w:tcPr>
            <w:tcW w:w="336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Cota permanente: 25 GB e 25 unidades de leitura e de escrita provisionadas.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Custo zero por construção e sem rede privada. Exige remodelar para acesso por chave e levar a integridade referencial para a aplicação. </w:t>
            </w:r>
            <w:r>
              <w:rPr>
                <w:rFonts w:eastAsia="Cambria" w:cs=""/>
                <w:b/>
                <w:bCs/>
                <w:kern w:val="0"/>
                <w:sz w:val="16"/>
                <w:szCs w:val="16"/>
                <w:lang w:val="pt-BR" w:eastAsia="en-US" w:bidi="ar-SA"/>
              </w:rPr>
              <w:t>Escolhida.</w:t>
            </w:r>
          </w:p>
        </w:tc>
      </w:tr>
    </w:tbl>
    <w:p>
      <w:pPr>
        <w:pStyle w:val="BodyText"/>
        <w:jc w:val="both"/>
        <w:rPr/>
      </w:pPr>
      <w:bookmarkStart w:id="34" w:name="decisão-e-alternativas"/>
      <w:r>
        <w:rPr/>
        <w:t>O custo assumido é real e não deve ser minimizado: o DynamoDB não tem junções nem chaves estrangeiras. O modelo abaixo mostra como cada garantia do modelo relacional é reconstruída. O argumento que torna a troca aceitável é a forma do dado: a calibração é um agregado fechado — uma calibração, suas medições, suas características e seu certificado são sempre lidos e gravados juntos — e esse é o caso de uso para o qual o DynamoDB foi desenhado. Para a evolução a produção, o modelo relacional da AV01 permanece como especificação lógica, e a migração para PostgreSQL é possível sem alterar o pipeline, apenas a camada de persistência.</w:t>
      </w:r>
      <w:bookmarkEnd w:id="34"/>
    </w:p>
    <w:p>
      <w:pPr>
        <w:pStyle w:val="Heading3"/>
        <w:rPr/>
      </w:pPr>
      <w:bookmarkStart w:id="35" w:name="desenho-das-tabelas"/>
      <w:r>
        <w:rPr/>
        <w:t>3.2.2 Desenho das tabelas</w:t>
      </w:r>
    </w:p>
    <w:p>
      <w:pPr>
        <w:pStyle w:val="FirstParagraph"/>
        <w:rPr/>
      </w:pPr>
      <w:r>
        <w:rPr/>
        <w:t xml:space="preserve">São duas tabelas. A tabela </w:t>
      </w:r>
      <w:r>
        <w:rPr>
          <w:rStyle w:val="VerbatimChar"/>
          <w:b/>
          <w:bCs/>
        </w:rPr>
        <w:t>calibracoes</w:t>
      </w:r>
      <w:r>
        <w:rPr/>
        <w:t xml:space="preserve"> segue o padrão de tabela única, com chave de partição </w:t>
      </w:r>
      <w:r>
        <w:rPr>
          <w:rStyle w:val="VerbatimChar"/>
        </w:rPr>
        <w:t>PK</w:t>
      </w:r>
      <w:r>
        <w:rPr/>
        <w:t xml:space="preserve"> e chave de ordenação </w:t>
      </w:r>
      <w:r>
        <w:rPr>
          <w:rStyle w:val="VerbatimChar"/>
        </w:rPr>
        <w:t>SK</w:t>
      </w:r>
      <w:r>
        <w:rPr/>
        <w:t>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27"/>
        <w:gridCol w:w="1965"/>
        <w:gridCol w:w="2247"/>
        <w:gridCol w:w="2620"/>
      </w:tblGrid>
      <w:tr>
        <w:trPr>
          <w:tblHeader w:val="true"/>
        </w:trPr>
        <w:tc>
          <w:tcPr>
            <w:tcW w:w="25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Entidade (AV01)</w:t>
            </w:r>
          </w:p>
        </w:tc>
        <w:tc>
          <w:tcPr>
            <w:tcW w:w="19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PK</w:t>
            </w:r>
          </w:p>
        </w:tc>
        <w:tc>
          <w:tcPr>
            <w:tcW w:w="224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SK</w:t>
            </w:r>
          </w:p>
        </w:tc>
        <w:tc>
          <w:tcPr>
            <w:tcW w:w="26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Observação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calibracao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CAL#&lt;id&gt;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META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Estado, datas, referências aos dados mestres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arquivo_importado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CAL#&lt;id&gt;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ARQ#&lt;sha256&gt;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Nome original, tamanho, chave do objeto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medicao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CAL#&lt;id&gt;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MED#&lt;sequência&gt;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Plano, data e hora, equipamento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caracteristica, leitura, resultado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CAL#&lt;id&gt;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CAR#&lt;ordem&gt;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Leituras e resultado embutidos no item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orcamento_incerteza e componentes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CAL#&lt;id&gt;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ORC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Cópia do orçamento usado, com versão (RN-31)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certificado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CAL#&lt;id&gt;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CERT#&lt;número&gt;#REV#&lt;n&gt;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Hash, token, chave do PDF, autoria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instrumento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INSTR#&lt;tag&gt;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META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Dados mestres do mensurando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padrao e certificado_padrao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PADRAO#&lt;código&gt;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META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e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CERT#&lt;número&gt;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Validade consultada em RN-06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procedimento, criterio_aceitacao, solicitante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PROC#…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CRIT#…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SOLIC#…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REV#&lt;n&gt;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ou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META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Revisão congelada na calibração (RN-33)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Restrições de unicidade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HASH#&lt;sha256&gt;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TOKEN#&lt;token&gt;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CERTNUM#&lt;número&gt;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UNICO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Itens-sentinela com gravação condicional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Sequência anual do certificado</w:t>
            </w:r>
          </w:p>
        </w:tc>
        <w:tc>
          <w:tcPr>
            <w:tcW w:w="196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SEQ#CERT#&lt;ano&gt;</w:t>
            </w:r>
          </w:p>
        </w:tc>
        <w:tc>
          <w:tcPr>
            <w:tcW w:w="22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CONTADOR</w:t>
            </w:r>
          </w:p>
        </w:tc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Incremento atômico (RN-14)</w:t>
            </w:r>
          </w:p>
        </w:tc>
      </w:tr>
    </w:tbl>
    <w:p>
      <w:pPr>
        <w:pStyle w:val="BodyText"/>
        <w:jc w:val="both"/>
        <w:rPr/>
      </w:pPr>
      <w:r>
        <w:rPr/>
        <w:t xml:space="preserve">A tabela </w:t>
      </w:r>
      <w:r>
        <w:rPr>
          <w:rStyle w:val="VerbatimChar"/>
          <w:b/>
          <w:bCs/>
        </w:rPr>
        <w:t>auditoria</w:t>
      </w:r>
      <w:r>
        <w:rPr/>
        <w:t xml:space="preserve"> tem </w:t>
      </w:r>
      <w:r>
        <w:rPr>
          <w:rStyle w:val="VerbatimChar"/>
        </w:rPr>
        <w:t>PK = &lt;entidade&gt;#&lt;id&gt;</w:t>
      </w:r>
      <w:r>
        <w:rPr/>
        <w:t xml:space="preserve"> e </w:t>
      </w:r>
      <w:r>
        <w:rPr>
          <w:rStyle w:val="VerbatimChar"/>
        </w:rPr>
        <w:t>SK = &lt;instante ISO 8601&gt;#&lt;identificador&gt;</w:t>
      </w:r>
      <w:r>
        <w:rPr/>
        <w:t>, e guarda quem fez, o quê, quando e o estado antes e depois. A separação em tabela própria é a forma de tornar a trilha realmente imutável (RNF-04): os papéis das funções recebem nessa tabela apenas a permissão de inserir, sem alterar e sem excluir (Seção 4.1), e a tabela tem proteção contra exclusão ativada.</w:t>
      </w:r>
    </w:p>
    <w:p>
      <w:pPr>
        <w:pStyle w:val="BodyText"/>
        <w:jc w:val="both"/>
        <w:rPr/>
      </w:pPr>
      <w:r>
        <w:rPr/>
        <w:t xml:space="preserve">A entidade </w:t>
      </w:r>
      <w:r>
        <w:rPr>
          <w:rStyle w:val="VerbatimChar"/>
        </w:rPr>
        <w:t>usuario</w:t>
      </w:r>
      <w:r>
        <w:rPr/>
        <w:t xml:space="preserve"> da AV01 não vira tabela. A identidade vive no Cognito; as tabelas guardam apenas o identificador opaco do usuário e, no certificado emitido, o nome que precisa constar do documento. É uma aplicação direta da minimização exigida por RNF-07 e RN-35.</w:t>
      </w:r>
      <w:bookmarkEnd w:id="35"/>
    </w:p>
    <w:p>
      <w:pPr>
        <w:pStyle w:val="Heading3"/>
        <w:rPr/>
      </w:pPr>
      <w:bookmarkStart w:id="36" w:name="padrões-de-acesso-e-índices"/>
      <w:r>
        <w:rPr/>
        <w:t>3.2.3 Padrões de acesso e índices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56"/>
        <w:gridCol w:w="4119"/>
        <w:gridCol w:w="1685"/>
      </w:tblGrid>
      <w:tr>
        <w:trPr>
          <w:tblHeader w:val="true"/>
        </w:trPr>
        <w:tc>
          <w:tcPr>
            <w:tcW w:w="35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Consulta</w:t>
            </w:r>
          </w:p>
        </w:tc>
        <w:tc>
          <w:tcPr>
            <w:tcW w:w="41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Como é atendida</w:t>
            </w:r>
          </w:p>
        </w:tc>
        <w:tc>
          <w:tcPr>
            <w:tcW w:w="16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Requisito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Carregar uma calibração completa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Uma consulta por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PK = CAL#&lt;id&gt;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RF-10, RF-15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Histórico de certificados de um instrumento, por TAG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Índice GSI1: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INSTR#&lt;tag&gt;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+ data da calibração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RF-15, RF-22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Fila de trabalho por estado e certificados por período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Índice GSI2: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STATUS#&lt;estado&gt;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+ data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RF-12, RF-20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Busca pelo número do certificado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Leitura direta do item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CERTNUM#&lt;número&gt;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RF-15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Verificação pública de autenticidade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Leitura direta do item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TOKEN#&lt;token&gt;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RF-16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Arquivo já importado?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Gravação condicional do item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HASH#&lt;sha256&gt;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RN-20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Trilha de um certificado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Consulta na tabela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auditoria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pela chave da entidade</w:t>
            </w:r>
          </w:p>
        </w:tc>
        <w:tc>
          <w:tcPr>
            <w:tcW w:w="168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RF-14, RNF-04</w:t>
            </w:r>
          </w:p>
        </w:tc>
      </w:tr>
    </w:tbl>
    <w:p>
      <w:pPr>
        <w:pStyle w:val="BodyText"/>
        <w:jc w:val="both"/>
        <w:rPr/>
      </w:pPr>
      <w:r>
        <w:rPr/>
        <w:t xml:space="preserve">A capacidade provisionada é alocada assim: </w:t>
      </w:r>
      <w:r>
        <w:rPr>
          <w:rStyle w:val="VerbatimChar"/>
        </w:rPr>
        <w:t>calibracoes</w:t>
      </w:r>
      <w:r>
        <w:rPr/>
        <w:t xml:space="preserve"> com 10 unidades de leitura e 10 de escrita; GSI1 e GSI2 com 4 e 4 cada; </w:t>
      </w:r>
      <w:r>
        <w:rPr>
          <w:rStyle w:val="VerbatimChar"/>
        </w:rPr>
        <w:t>auditoria</w:t>
      </w:r>
      <w:r>
        <w:rPr/>
        <w:t xml:space="preserve"> com 5 e 5. Total de 23 de leitura e 23 de escrita, dentro das 25 gratuitas. Uma emissão grava cerca de 40 itens de até 1 KB; como a gravação é transacional, consome o dobro, perto de 80 unidades, que a tabela absorve em poucos segundos com a capacidade de rajada acumulada nos períodos ociosos.</w:t>
      </w:r>
      <w:bookmarkEnd w:id="36"/>
    </w:p>
    <w:p>
      <w:pPr>
        <w:pStyle w:val="Heading3"/>
        <w:rPr/>
      </w:pPr>
      <w:bookmarkStart w:id="37" w:name="X31a0f3535e5cf5ebfa8738382318674c6df4232"/>
      <w:r>
        <w:rPr/>
        <w:t>3.2.4 Compatibilidade com o dicionário de dados da AV01</w:t>
      </w:r>
    </w:p>
    <w:p>
      <w:pPr>
        <w:pStyle w:val="Compact"/>
        <w:numPr>
          <w:ilvl w:val="0"/>
          <w:numId w:val="7"/>
        </w:numPr>
        <w:jc w:val="both"/>
        <w:rPr/>
      </w:pPr>
      <w:r>
        <w:rPr>
          <w:b/>
          <w:bCs/>
        </w:rPr>
        <w:t>Precisão numérica.</w:t>
      </w:r>
      <w:r>
        <w:rPr/>
        <w:t xml:space="preserve"> A AV01 exige </w:t>
      </w:r>
      <w:r>
        <w:rPr>
          <w:rStyle w:val="VerbatimChar"/>
        </w:rPr>
        <w:t>NUMERIC(18,7)</w:t>
      </w:r>
      <w:r>
        <w:rPr/>
        <w:t xml:space="preserve"> para preservar as 7 casas da MMC (R-31). O tipo numérico do DynamoDB é decimal exato, com até 38 dígitos de precisão; não há conversão para ponto flutuante binário, e o arredondamento ocorre apenas na apresentação (RN-18).</w:t>
      </w:r>
    </w:p>
    <w:p>
      <w:pPr>
        <w:pStyle w:val="Compact"/>
        <w:numPr>
          <w:ilvl w:val="0"/>
          <w:numId w:val="8"/>
        </w:numPr>
        <w:jc w:val="both"/>
        <w:rPr/>
      </w:pPr>
      <w:r>
        <w:rPr>
          <w:b/>
          <w:bCs/>
        </w:rPr>
        <w:t>Datas.</w:t>
      </w:r>
      <w:r>
        <w:rPr/>
        <w:t xml:space="preserve"> Os campos </w:t>
      </w:r>
      <w:r>
        <w:rPr>
          <w:rStyle w:val="VerbatimChar"/>
        </w:rPr>
        <w:t>TIMESTAMPTZ</w:t>
      </w:r>
      <w:r>
        <w:rPr/>
        <w:t xml:space="preserve"> são gravados como texto ISO 8601 em UTC, que ordena corretamente como chave de ordenação.</w:t>
      </w:r>
    </w:p>
    <w:p>
      <w:pPr>
        <w:pStyle w:val="Compact"/>
        <w:numPr>
          <w:ilvl w:val="0"/>
          <w:numId w:val="9"/>
        </w:numPr>
        <w:jc w:val="both"/>
        <w:rPr/>
      </w:pPr>
      <w:r>
        <w:rPr>
          <w:b/>
          <w:bCs/>
        </w:rPr>
        <w:t>Enumerações.</w:t>
      </w:r>
      <w:r>
        <w:rPr/>
        <w:t xml:space="preserve"> Estados, tipos e perfis são validados pela aplicação contra os domínios da AV01 antes da gravação.</w:t>
      </w:r>
    </w:p>
    <w:p>
      <w:pPr>
        <w:pStyle w:val="Compact"/>
        <w:numPr>
          <w:ilvl w:val="0"/>
          <w:numId w:val="10"/>
        </w:numPr>
        <w:jc w:val="both"/>
        <w:rPr/>
      </w:pPr>
      <w:r>
        <w:rPr>
          <w:b/>
          <w:bCs/>
        </w:rPr>
        <w:t>Unicidade.</w:t>
      </w:r>
      <w:r>
        <w:rPr/>
        <w:t xml:space="preserve"> Cada restrição </w:t>
      </w:r>
      <w:r>
        <w:rPr>
          <w:rStyle w:val="VerbatimChar"/>
        </w:rPr>
        <w:t>UNIQUE</w:t>
      </w:r>
      <w:r>
        <w:rPr/>
        <w:t xml:space="preserve"> da AV01 vira um item-sentinela gravado na mesma transação que o item principal; se o sentinela já existe, a transação inteira é desfeita.</w:t>
      </w:r>
    </w:p>
    <w:p>
      <w:pPr>
        <w:pStyle w:val="Compact"/>
        <w:numPr>
          <w:ilvl w:val="0"/>
          <w:numId w:val="11"/>
        </w:numPr>
        <w:jc w:val="both"/>
        <w:rPr/>
      </w:pPr>
      <w:r>
        <w:rPr>
          <w:b/>
          <w:bCs/>
        </w:rPr>
        <w:t>Integridade referencial.</w:t>
      </w:r>
      <w:r>
        <w:rPr/>
        <w:t xml:space="preserve"> A existência do instrumento, do padrão, do procedimento e do critério é conferida dentro da transação de gravação, por verificação de condição. Não há exclusão física de dados mestres (RN-30), o que elimina a necessidade de regras em cascata.</w:t>
      </w:r>
    </w:p>
    <w:p>
      <w:pPr>
        <w:pStyle w:val="Compact"/>
        <w:numPr>
          <w:ilvl w:val="0"/>
          <w:numId w:val="12"/>
        </w:numPr>
        <w:jc w:val="both"/>
        <w:rPr/>
      </w:pPr>
      <w:r>
        <w:rPr>
          <w:b/>
          <w:bCs/>
        </w:rPr>
        <w:t>Numeração sem lacunas.</w:t>
      </w:r>
      <w:r>
        <w:rPr/>
        <w:t xml:space="preserve"> O contador anual é incrementado e o certificado é criado em uma única transação: ou as duas coisas acontecem, ou nenhuma (RN-14).</w:t>
      </w:r>
      <w:bookmarkEnd w:id="37"/>
    </w:p>
    <w:p>
      <w:pPr>
        <w:pStyle w:val="Heading3"/>
        <w:rPr/>
      </w:pPr>
      <w:bookmarkStart w:id="38" w:name="cópia-de-segurança-e-recuperação"/>
      <w:r>
        <w:rPr/>
        <w:t>3.2.5 Cópia de segurança e recuperação</w:t>
      </w:r>
    </w:p>
    <w:p>
      <w:pPr>
        <w:pStyle w:val="FirstParagraph"/>
        <w:jc w:val="both"/>
        <w:rPr/>
      </w:pPr>
      <w:r>
        <w:rPr/>
        <w:t>Na PoC, a recuperação apoia-se em duas propriedades da arquitetura: os originais e os PDFs emitidos estão no S3, com versionamento e bloqueio, e o processamento é determinístico. As tabelas são, portanto, reconstruíveis a partir dos arquivos. A recuperação contínua do DynamoDB (</w:t>
      </w:r>
      <w:r>
        <w:rPr>
          <w:i/>
          <w:iCs/>
        </w:rPr>
        <w:t>point-in-time recovery</w:t>
      </w:r>
      <w:r>
        <w:rPr/>
        <w:t>) não é ativada na PoC porque é cobrada por GB; em produção ela deve ser ligada — com 20 MB de dados o custo é de frações de centavo — para atender ao RNF-10 (RPO de até 24 horas e RTO de até 4 horas).</w:t>
      </w:r>
      <w:bookmarkEnd w:id="28"/>
      <w:bookmarkEnd w:id="32"/>
      <w:bookmarkEnd w:id="38"/>
    </w:p>
    <w:p>
      <w:pPr>
        <w:pStyle w:val="Heading1"/>
        <w:rPr/>
      </w:pPr>
      <w:bookmarkStart w:id="39" w:name="Xf6c97d8131172a1c6258096caf7343db3bc5158"/>
      <w:r>
        <w:rPr/>
        <w:t>4. Requisitos de Segurança, Autenticação e Conformidade</w:t>
      </w:r>
    </w:p>
    <w:p>
      <w:pPr>
        <w:pStyle w:val="Heading2"/>
        <w:rPr/>
      </w:pPr>
      <w:bookmarkStart w:id="40" w:name="Xa3978315059cf211abe37cc5acf6ff34402bd3c"/>
      <w:r>
        <w:rPr/>
        <w:t>4.1 Gestão de identidade e controle de acesso (IAM)</w:t>
      </w:r>
    </w:p>
    <w:p>
      <w:pPr>
        <w:pStyle w:val="Heading3"/>
        <w:rPr/>
      </w:pPr>
      <w:bookmarkStart w:id="41" w:name="modelo-de-identidade"/>
      <w:r>
        <w:rPr/>
        <w:t>4.1.1 Modelo de identidade</w:t>
      </w:r>
    </w:p>
    <w:p>
      <w:pPr>
        <w:pStyle w:val="FirstParagraph"/>
        <w:jc w:val="both"/>
        <w:rPr/>
      </w:pPr>
      <w:r>
        <w:rPr/>
        <w:t xml:space="preserve">Há três tipos de identidade, cada um com mecanismo próprio. </w:t>
      </w:r>
      <w:r>
        <w:rPr>
          <w:b/>
          <w:bCs/>
        </w:rPr>
        <w:t>Pessoas que usam o sistema</w:t>
      </w:r>
      <w:r>
        <w:rPr/>
        <w:t xml:space="preserve"> são usuários do Amazon Cognito, organizados em grupos que correspondem aos perfis da AV01. Elas não têm usuário nem chave do IAM e nunca falam diretamente com o S3 ou com o DynamoDB: tudo passa pelo API Gateway, e o acesso a arquivos se dá por autorizações pré-assinadas, específicas e de curta duração. </w:t>
      </w:r>
      <w:r>
        <w:rPr>
          <w:b/>
          <w:bCs/>
        </w:rPr>
        <w:t>Serviços internos</w:t>
      </w:r>
      <w:r>
        <w:rPr/>
        <w:t xml:space="preserve"> — as três funções — assumem papéis do IAM com permissões mínimas e credenciais temporárias, renovadas automaticamente; não existe senha ou chave de acesso gravada em código ou em configuração. </w:t>
      </w:r>
      <w:r>
        <w:rPr>
          <w:b/>
          <w:bCs/>
        </w:rPr>
        <w:t>Pessoas que administram a conta</w:t>
      </w:r>
      <w:r>
        <w:rPr/>
        <w:t xml:space="preserve"> — os três integrantes do grupo, na PoC — usam usuários individuais com segundo fator; o usuário raiz é usado apenas na criação da conta, com segundo fator e sem chaves de acesso.</w:t>
      </w:r>
      <w:bookmarkEnd w:id="41"/>
    </w:p>
    <w:p>
      <w:pPr>
        <w:pStyle w:val="Heading3"/>
        <w:rPr/>
      </w:pPr>
      <w:bookmarkStart w:id="42" w:name="perfis-de-operadores-e-auditores"/>
      <w:r>
        <w:rPr/>
        <w:t>4.1.2 Perfis de operadores e auditores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03"/>
        <w:gridCol w:w="4213"/>
        <w:gridCol w:w="3744"/>
      </w:tblGrid>
      <w:tr>
        <w:trPr>
          <w:tblHeader w:val="true"/>
        </w:trPr>
        <w:tc>
          <w:tcPr>
            <w:tcW w:w="140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Grupo (Cognito)</w:t>
            </w:r>
          </w:p>
        </w:tc>
        <w:tc>
          <w:tcPr>
            <w:tcW w:w="42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Pode</w:t>
            </w:r>
          </w:p>
        </w:tc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Não pode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metrologista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Solicitar upload; consultar calibrações e minutas; corrigir e reenviar arquivo em quarentena.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Aprovar ou emitir; cancelar certificado; ver a trilha de outros usuários.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signatario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Consultar minutas; aprovar ou devolver; baixar certificados emitidos.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Aprovar calibração em que é o técnico executante (RN-12); enviar arquivo; alterar dados.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coordenador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Consultar tudo; cancelar ou solicitar reemissão com justificativa (RN-15, RN-30); liberar bloqueio de padrão com justificativa.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Aprovar; alterar resultado; excluir registro.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auditor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Somente leitura: certificados emitidos, originais importados e trilha de auditoria.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Qualquer operação de escrita.</w:t>
            </w:r>
          </w:p>
        </w:tc>
      </w:tr>
      <w:tr>
        <w:trPr/>
        <w:tc>
          <w:tcPr>
            <w:tcW w:w="140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Público (sem login)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Verificar autenticidade por token: número, data, situação e hash.</w:t>
            </w:r>
          </w:p>
        </w:tc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Ver resultados, nomes ou baixar o PDF.</w:t>
            </w:r>
          </w:p>
        </w:tc>
      </w:tr>
    </w:tbl>
    <w:p>
      <w:pPr>
        <w:pStyle w:val="BodyText"/>
        <w:jc w:val="both"/>
        <w:rPr/>
      </w:pPr>
      <w:bookmarkStart w:id="43" w:name="perfis-de-operadores-e-auditores"/>
      <w:r>
        <w:rPr/>
        <w:t>A autorização é aplicada em duas camadas. Na borda, o autorizador JWT do API Gateway exige token válido em todas as rotas, exceto a de verificação pública. Na função, cada rota confere o grupo do usuário antes de agir. A segregação de funções da RN-12 tem uma terceira camada, no dado: a gravação da aprovação é condicional a que o identificador do aprovador seja diferente do identificador do técnico registrado na calibração. Mesmo que um defeito na aplicação deixasse passar a checagem de perfil, o banco recusaria a gravação. Os tokens de acesso são configurados para expirar em 60 minutos, o que atende à sessão expirável do RNF-05, e a desativação de um usuário no Cognito impede novos acessos (RN-12, signatário inativo não assina).</w:t>
      </w:r>
      <w:bookmarkEnd w:id="43"/>
    </w:p>
    <w:p>
      <w:pPr>
        <w:pStyle w:val="Heading3"/>
        <w:rPr/>
      </w:pPr>
      <w:bookmarkStart w:id="44" w:name="papéis-dos-serviços-internos"/>
      <w:r>
        <w:rPr/>
        <w:t>4.1.3 Papéis dos serviços internos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78"/>
        <w:gridCol w:w="2153"/>
        <w:gridCol w:w="3182"/>
        <w:gridCol w:w="2246"/>
      </w:tblGrid>
      <w:tr>
        <w:trPr>
          <w:tblHeader w:val="true"/>
        </w:trPr>
        <w:tc>
          <w:tcPr>
            <w:tcW w:w="177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Papel</w:t>
            </w:r>
          </w:p>
        </w:tc>
        <w:tc>
          <w:tcPr>
            <w:tcW w:w="21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Recurso</w:t>
            </w:r>
          </w:p>
        </w:tc>
        <w:tc>
          <w:tcPr>
            <w:tcW w:w="318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Ações permitidas</w:t>
            </w:r>
          </w:p>
        </w:tc>
        <w:tc>
          <w:tcPr>
            <w:tcW w:w="22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Deliberadamente negado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role-fn-api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Bucket de entrada,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uploads/*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s3:PutObject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(para assinar o upload)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Ler planilhas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role-fn-api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Bucket de certificados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s3:GetObject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(para assinar o download)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Gravar ou excluir PDFs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role-fn-api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Tabela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calibracoes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e índices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GetItem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Query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UpdateItem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Scan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DeleteItem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role-fn-api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Tabela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auditoria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PutItem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Query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UpdateItem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DeleteItem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role-fn-api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Função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fn-certificado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lambda:InvokeFunction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Invocar outras funções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role-fn-ingestao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Bucket de entrada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s3:GetObject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uploads/*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s3:PutObject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quarentena/*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Qualquer acesso ao bucket de certificados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role-fn-ingestao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Tabela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calibracoes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GetItem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Query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PutItem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UpdateItem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DeleteItem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Scan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role-fn-ingestao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Tabela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auditoria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PutItem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Ler, alterar, excluir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role-fn-ingestao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Fila de falhas, tópico SNS,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fn-certificado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sqs:SendMessage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sns:Publish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lambda:InvokeFunction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Ler a fila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role-fn-certificado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Bucket de certificados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s3:PutObject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e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s3:PutObjectRetention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em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minutas/*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 e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emitidos/*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s3:DeleteObject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; dispensar o bloqueio de retenção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role-fn-certificado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Tabela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calibracoes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GetItem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Query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UpdateItem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PutItem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DeleteItem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Scan</w:t>
            </w:r>
          </w:p>
        </w:tc>
      </w:tr>
      <w:tr>
        <w:trPr/>
        <w:tc>
          <w:tcPr>
            <w:tcW w:w="177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role-fn-certificado</w:t>
            </w:r>
          </w:p>
        </w:tc>
        <w:tc>
          <w:tcPr>
            <w:tcW w:w="21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Tabela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auditoria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; fila de falhas</w:t>
            </w:r>
          </w:p>
        </w:tc>
        <w:tc>
          <w:tcPr>
            <w:tcW w:w="318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PutItem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;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sqs:SendMessage</w:t>
            </w:r>
          </w:p>
        </w:tc>
        <w:tc>
          <w:tcPr>
            <w:tcW w:w="22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Qualquer acesso ao bucket de entrada</w:t>
            </w:r>
          </w:p>
        </w:tc>
      </w:tr>
    </w:tbl>
    <w:p>
      <w:pPr>
        <w:pStyle w:val="BodyText"/>
        <w:jc w:val="both"/>
        <w:rPr/>
      </w:pPr>
      <w:r>
        <w:rPr/>
        <w:t>Todos os papéis recebem ainda a permissão de escrever logs no próprio grupo de logs, e nada mais. Três consequências desse desenho merecem destaque. Nenhuma função consegue excluir um certificado emitido ou um evento de auditoria, porque nenhum papel tem essas ações. A função que gera o documento não enxerga as planilhas, e a que lê as planilhas não enxerga os documentos: o comprometimento de uma não expõe o acervo da outra. E a trilha de auditoria é somente de inserção por permissão, não por convenção (RNF-04, RN-21).</w:t>
      </w:r>
    </w:p>
    <w:p>
      <w:pPr>
        <w:pStyle w:val="BodyText"/>
        <w:jc w:val="both"/>
        <w:rPr/>
      </w:pPr>
      <w:r>
        <w:rPr/>
        <w:t>Exemplo real de política — o papel da função de ingestão, com os nomes de recurso da PoC [os identificadores de conta são preenchidos na implantação]: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"LerPlanilhasEnviadas"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"s3:GetObject"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"arn:aws:s3:::schulz-poc-entrada/uploads/*"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"GravarQuarentena"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"s3:PutObject"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"arn:aws:s3:::schulz-poc-entrada/quarentena/*"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"GravarCalibracoes"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"dynamodb:GetItem"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"dynamodb:Query"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>"dynamodb:PutItem"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"dynamodb:UpdateItem"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"arn:aws:dynamodb:sa-east-1:&lt;conta&gt;:table/calibracoes"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"AuditoriaSomenteInsercao"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"dynamodb:PutItem"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"arn:aws:dynamodb:sa-east-1:&lt;conta&gt;:table/auditoria"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"EncadearEFalhar"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"lambda:InvokeFunction"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"sqs:SendMessage"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"sns:Publish"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"arn:aws:lambda:sa-east-1:&lt;conta&gt;:function:fn-certificado"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"arn:aws:sqs:sa-east-1:&lt;conta&gt;:schulz-poc-falhas"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"arn:aws:sns:sa-east-1:&lt;conta&gt;:schulz-poc-operacao"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/>
        <w:br/>
      </w:r>
      <w:r>
        <w:rPr>
          <w:rStyle w:val="FunctionTok"/>
        </w:rPr>
        <w:t>}</w:t>
      </w:r>
      <w:bookmarkEnd w:id="44"/>
    </w:p>
    <w:p>
      <w:pPr>
        <w:pStyle w:val="Heading3"/>
        <w:rPr/>
      </w:pPr>
      <w:bookmarkStart w:id="45" w:name="X4315554a25f420eef727b5eb824c7baf4763c2c"/>
      <w:r>
        <w:rPr/>
        <w:t>4.1.4 Políticas nos recursos e rastreabilidade administrativa</w:t>
      </w:r>
    </w:p>
    <w:p>
      <w:pPr>
        <w:pStyle w:val="FirstParagraph"/>
        <w:jc w:val="both"/>
        <w:rPr/>
      </w:pPr>
      <w:r>
        <w:rPr/>
        <w:t xml:space="preserve">Além das políticas de identidade, os próprios recursos impõem regras. Os dois buckets têm o bloqueio de acesso público ativado e uma política que nega qualquer requisição sem TLS. A permissão para o S3 invocar a </w:t>
      </w:r>
      <w:r>
        <w:rPr>
          <w:rStyle w:val="VerbatimChar"/>
        </w:rPr>
        <w:t>fn-ingestao</w:t>
      </w:r>
      <w:r>
        <w:rPr/>
        <w:t xml:space="preserve"> é restrita ao bucket de entrada e à conta da PoC, de modo que nenhum outro bucket, de nenhuma outra conta, consegue disparar o pipeline. As ações administrativas — criação de papéis, alteração de políticas, mudança de configuração de bucket — ficam no histórico de eventos do CloudTrail, o que permite responder, em auditoria, quem alterou a infraestrutura e quando (RA-05, RA-06). Em produção, na conta da Schulz, o acesso administrativo deve ser federado ao diretório corporativo da empresa [VALIDAR com a TI da Schulz].</w:t>
      </w:r>
      <w:bookmarkEnd w:id="40"/>
      <w:bookmarkEnd w:id="45"/>
    </w:p>
    <w:p>
      <w:pPr>
        <w:pStyle w:val="Heading2"/>
        <w:rPr/>
      </w:pPr>
      <w:bookmarkStart w:id="46" w:name="X547b6bc8603e48ded8591d01aae77de85e30cba"/>
      <w:r>
        <w:rPr/>
        <w:t>4.2 Segurança e proteção de dados (in-transit e at-rest)</w:t>
      </w:r>
    </w:p>
    <w:p>
      <w:pPr>
        <w:pStyle w:val="Heading3"/>
        <w:rPr/>
      </w:pPr>
      <w:r>
        <w:rPr/>
        <w:t>4.2.1 Classificação dos dados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527"/>
        <w:gridCol w:w="2527"/>
        <w:gridCol w:w="4306"/>
      </w:tblGrid>
      <w:tr>
        <w:trPr>
          <w:tblHeader w:val="true"/>
        </w:trPr>
        <w:tc>
          <w:tcPr>
            <w:tcW w:w="25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Dado</w:t>
            </w:r>
          </w:p>
        </w:tc>
        <w:tc>
          <w:tcPr>
            <w:tcW w:w="25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Classificação</w:t>
            </w:r>
          </w:p>
        </w:tc>
        <w:tc>
          <w:tcPr>
            <w:tcW w:w="43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Onde fica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Planilhas de medição e resultados</w:t>
            </w:r>
          </w:p>
        </w:tc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Confidencial — informação técnica da Schulz e de seus clientes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Bucket de entrada; tabela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calibracoes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Certificados emitidos</w:t>
            </w:r>
          </w:p>
        </w:tc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Confidencial; registro de qualidade com guarda de 5 anos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Bucket de certificados, com Object Lock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Nome e matrícula de técnicos e signatários</w:t>
            </w:r>
          </w:p>
        </w:tc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Dado pessoal (LGPD)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Cognito; nome impresso no certificado; identificador opaco nas tabelas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Trilha de auditoria</w:t>
            </w:r>
          </w:p>
        </w:tc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Confidencial; evidência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 xml:space="preserve">Tabela 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auditoria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, somente inserção</w:t>
            </w:r>
          </w:p>
        </w:tc>
      </w:tr>
      <w:tr>
        <w:trPr/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Dados de verificação pública</w:t>
            </w:r>
          </w:p>
        </w:tc>
        <w:tc>
          <w:tcPr>
            <w:tcW w:w="2527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Público por desenho</w:t>
            </w:r>
          </w:p>
        </w:tc>
        <w:tc>
          <w:tcPr>
            <w:tcW w:w="430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Resposta da rota de verificação: número, data, situação e hash</w:t>
            </w:r>
            <w:bookmarkStart w:id="47" w:name="classificação-dos-dados"/>
            <w:bookmarkEnd w:id="47"/>
          </w:p>
        </w:tc>
      </w:tr>
    </w:tbl>
    <w:p>
      <w:pPr>
        <w:pStyle w:val="Heading3"/>
        <w:rPr/>
      </w:pPr>
      <w:r>
        <w:rPr/>
        <w:t>4.2.2 Proteção em repouso (at-rest)</w:t>
      </w:r>
    </w:p>
    <w:p>
      <w:pPr>
        <w:pStyle w:val="FirstParagraph"/>
        <w:jc w:val="both"/>
        <w:rPr/>
      </w:pPr>
      <w:r>
        <w:rPr/>
        <w:t xml:space="preserve">Todo dado armazenado é criptografado, sem exceção e sem ação do usuário. No </w:t>
      </w:r>
      <w:r>
        <w:rPr>
          <w:b/>
          <w:bCs/>
        </w:rPr>
        <w:t>S3</w:t>
      </w:r>
      <w:r>
        <w:rPr/>
        <w:t xml:space="preserve">, a criptografia no servidor com chaves gerenciadas pelo serviço (SSE-S3, AES-256) é aplicada a todos os objetos dos dois buckets; a política do bucket de certificados nega gravações que tentem dispensá-la. No </w:t>
      </w:r>
      <w:r>
        <w:rPr>
          <w:b/>
          <w:bCs/>
        </w:rPr>
        <w:t>DynamoDB</w:t>
      </w:r>
      <w:r>
        <w:rPr/>
        <w:t>, as duas tabelas são criptografadas por padrão com chave de propriedade da AWS, o que cobre também índices e cópias de segurança. Logs e mensagens em fila ficam igualmente criptografados nos serviços gerenciados. As chaves são guardadas e rotacionadas pela AWS, sem custo e sem operação pela equipe.</w:t>
      </w:r>
    </w:p>
    <w:p>
      <w:pPr>
        <w:pStyle w:val="BodyText"/>
        <w:jc w:val="both"/>
        <w:rPr/>
      </w:pPr>
      <w:r>
        <w:rPr/>
        <w:t>A opção por SSE-S3, e não por chave gerenciada pelo cliente no AWS KMS, é uma decisão de custo declarada: a chave própria custa US$ 1 por mês e não tem cota gratuita, o que violaria a restrição da PoC. O que se perde é o controle fino — política própria da chave e registro de cada uso dela. Para produção, o grupo recomenda migrar os dois buckets para SSE-KMS com chave do cliente e rotação automática anual, o que separa a permissão de acessar o arquivo da permissão de decifrá-lo.</w:t>
      </w:r>
    </w:p>
    <w:p>
      <w:pPr>
        <w:pStyle w:val="BodyText"/>
        <w:jc w:val="both"/>
        <w:rPr/>
      </w:pPr>
      <w:r>
        <w:rPr/>
        <w:t xml:space="preserve">Criptografia protege o sigilo; a </w:t>
      </w:r>
      <w:r>
        <w:rPr>
          <w:b/>
          <w:bCs/>
        </w:rPr>
        <w:t>integridade</w:t>
      </w:r>
      <w:r>
        <w:rPr/>
        <w:t xml:space="preserve"> tem mecanismos próprios, que respondem ao achado mais grave da AV01, o de registros editáveis e não versionados (D-10, RA-06): o hash SHA-256 de cada PDF é gravado na tabela e impresso no documento (RNF-03); o versionamento do bucket preserva qualquer versão anterior; e o Object Lock impede sobrescrita e exclusão por 5 anos (DE-04). Um certificado alterado fora do sistema é detectável por qualquer pessoa pela rota de verificação.</w:t>
      </w:r>
    </w:p>
    <w:p>
      <w:pPr>
        <w:pStyle w:val="Heading3"/>
        <w:rPr/>
      </w:pPr>
      <w:bookmarkStart w:id="48" w:name="proteção-em-trânsito-in-transit"/>
      <w:r>
        <w:rPr/>
        <w:t>4.2.3 Proteção em trânsito (in-transit)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20"/>
        <w:gridCol w:w="6739"/>
      </w:tblGrid>
      <w:tr>
        <w:trPr>
          <w:tblHeader w:val="true"/>
        </w:trPr>
        <w:tc>
          <w:tcPr>
            <w:tcW w:w="26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Trecho</w:t>
            </w:r>
          </w:p>
        </w:tc>
        <w:tc>
          <w:tcPr>
            <w:tcW w:w="67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Proteção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Navegador → Cognito</w:t>
            </w:r>
          </w:p>
        </w:tc>
        <w:tc>
          <w:tcPr>
            <w:tcW w:w="673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HTTPS; senha nunca trafega pela aplicação do grupo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Navegador → API Gateway</w:t>
            </w:r>
          </w:p>
        </w:tc>
        <w:tc>
          <w:tcPr>
            <w:tcW w:w="673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HTTPS com TLS 1.2; não existe ponto de acesso HTTP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Navegador → S3 (upload e download)</w:t>
            </w:r>
          </w:p>
        </w:tc>
        <w:tc>
          <w:tcPr>
            <w:tcW w:w="673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HTTPS em endereço pré-assinado; política do bucket nega requisições sem TLS (</w:t>
            </w:r>
            <w:r>
              <w:rPr>
                <w:rStyle w:val="VerbatimChar"/>
                <w:rFonts w:eastAsia="Cambria" w:cs=""/>
                <w:kern w:val="0"/>
                <w:szCs w:val="16"/>
                <w:lang w:val="pt-BR" w:eastAsia="en-US" w:bidi="ar-SA"/>
              </w:rPr>
              <w:t>aws:SecureTransport</w:t>
            </w: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)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Funções → S3, DynamoDB, SQS, SNS</w:t>
            </w:r>
          </w:p>
        </w:tc>
        <w:tc>
          <w:tcPr>
            <w:tcW w:w="673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Chamadas autenticadas e assinadas, sobre TLS, aos pontos de acesso da própria região</w:t>
            </w:r>
          </w:p>
        </w:tc>
      </w:tr>
      <w:tr>
        <w:trPr/>
        <w:tc>
          <w:tcPr>
            <w:tcW w:w="2620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SNS → e-mail</w:t>
            </w:r>
          </w:p>
        </w:tc>
        <w:tc>
          <w:tcPr>
            <w:tcW w:w="673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Mensagens de alerta sem dado técnico ou pessoal: apenas o identificador da calibração e o tipo de evento</w:t>
            </w:r>
          </w:p>
        </w:tc>
      </w:tr>
    </w:tbl>
    <w:p>
      <w:pPr>
        <w:pStyle w:val="BodyText"/>
        <w:jc w:val="both"/>
        <w:rPr/>
      </w:pPr>
      <w:r>
        <w:rPr/>
        <w:t xml:space="preserve">O acesso seguro tem dois públicos. Os </w:t>
      </w:r>
      <w:r>
        <w:rPr>
          <w:b/>
          <w:bCs/>
        </w:rPr>
        <w:t>clientes internos</w:t>
      </w:r>
      <w:r>
        <w:rPr/>
        <w:t xml:space="preserve"> autenticam-se com segundo fator e recebem, para cada download, um endereço pré-assinado que expira em 5 minutos e vale para um único arquivo; um endereço que vaze por e-mail perde a utilidade antes de ser reaproveitado. Os </w:t>
      </w:r>
      <w:r>
        <w:rPr>
          <w:b/>
          <w:bCs/>
        </w:rPr>
        <w:t>clientes externos</w:t>
      </w:r>
      <w:r>
        <w:rPr/>
        <w:t xml:space="preserve"> — fornecedores como CDM, Usifer, Torque e Valente, e auditores — recebem o PDF da Metrologia pelo canal habitual e conferem a autenticidade pelo token impresso no documento, sem cadastro e sem acesso a nenhum dado além do necessário para a conferência. A rota pública tem limite de taxa e o token tem 32 caracteres aleatórios, o que inviabiliza a enumeração.</w:t>
      </w:r>
      <w:bookmarkEnd w:id="48"/>
    </w:p>
    <w:p>
      <w:pPr>
        <w:pStyle w:val="Heading3"/>
        <w:rPr/>
      </w:pPr>
      <w:bookmarkStart w:id="49" w:name="autoria-do-certificado-sem-icp-brasil"/>
      <w:r>
        <w:rPr/>
        <w:t>4.2.4 Autoria do certificado sem ICP-Brasil</w:t>
      </w:r>
    </w:p>
    <w:p>
      <w:pPr>
        <w:pStyle w:val="FirstParagraph"/>
        <w:jc w:val="both"/>
        <w:rPr/>
      </w:pPr>
      <w:r>
        <w:rPr/>
        <w:t xml:space="preserve">Conforme DE-03, a PoC não usa certificado digital. A autoria é estabelecida pela cadeia: usuário autenticado com segundo fator → aprovação registrada com identificador, data e hora → nome do técnico executante e do signatário impressos no PDF → hash do documento gravado → evento na trilha somente de inserção. Isso corresponde a uma assinatura eletrônica baseada em autenticação, suficiente para o fluxo interno descrito pela empresa. A assinatura digital com certificado ICP-Brasil permanece no roteiro de evolução, e a arquitetura a comporta sem redesenho: é um passo adicional da </w:t>
      </w:r>
      <w:r>
        <w:rPr>
          <w:rStyle w:val="VerbatimChar"/>
        </w:rPr>
        <w:t>fn-certificado</w:t>
      </w:r>
      <w:r>
        <w:rPr/>
        <w:t xml:space="preserve"> antes da gravação.</w:t>
      </w:r>
      <w:bookmarkEnd w:id="49"/>
    </w:p>
    <w:p>
      <w:pPr>
        <w:pStyle w:val="Heading3"/>
        <w:rPr/>
      </w:pPr>
      <w:bookmarkStart w:id="50" w:name="conformidade-lgpd-e-retenção"/>
      <w:r>
        <w:rPr/>
        <w:t>4.2.5 Conformidade: LGPD e retenção</w:t>
      </w:r>
    </w:p>
    <w:p>
      <w:pPr>
        <w:pStyle w:val="FirstParagraph"/>
        <w:jc w:val="both"/>
        <w:rPr/>
      </w:pPr>
      <w:bookmarkStart w:id="51" w:name="Xf6c97d8131172a1c6258096caf7343db3bc5158"/>
      <w:bookmarkStart w:id="52" w:name="X547b6bc8603e48ded8591d01aae77de85e30cba"/>
      <w:bookmarkStart w:id="53" w:name="conformidade-lgpd-e-retenção"/>
      <w:r>
        <w:rPr/>
        <w:t>Os dados pessoais tratados limitam-se a nome, matrícula e perfil de técnicos e signatários (RN-35), o que responde ao risco RA-12 da AV01, em que esses dados circulavam em planilhas sem controle de acesso. As medidas são: minimização, com o identificador opaco nas tabelas e o nome apenas onde o documento o exige; acesso por perfil, com registro de quem consultou o quê (RN-24); nenhum dado pessoal em logs ou em mensagens de alerta; hospedagem na região de São Paulo, o que evita a transferência internacional de dados na operação normal; e descarte ao fim do prazo de guarda pelas regras de ciclo de vida. A base legal do tratamento e o prazo de guarda dos dados pessoais devem ser confirmados com o encarregado de dados da Schulz [VALIDAR]. O prazo de 5 anos da DE-04 aplica-se ao certificado e ao arquivo de origem; como o nome do técnico é parte do certificado, ele segue o mesmo prazo. A confidencialidade de informação de terceiros apontada em RA-11 é tratada pelo isolamento por calibração: cada arquivo fica sob o identificador da sua calibração e não existe modelo compartilhado que carregue dados de outro cliente.</w:t>
      </w:r>
      <w:bookmarkEnd w:id="51"/>
      <w:bookmarkEnd w:id="52"/>
      <w:bookmarkEnd w:id="53"/>
    </w:p>
    <w:p>
      <w:pPr>
        <w:pStyle w:val="Heading1"/>
        <w:rPr/>
      </w:pPr>
      <w:bookmarkStart w:id="54" w:name="rastreabilidade-com-a-entrega-01"/>
      <w:r>
        <w:rPr/>
        <w:t>5. Rastreabilidade com a Entrega 01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56"/>
        <w:gridCol w:w="3183"/>
        <w:gridCol w:w="2621"/>
      </w:tblGrid>
      <w:tr>
        <w:trPr>
          <w:tblHeader w:val="true"/>
        </w:trPr>
        <w:tc>
          <w:tcPr>
            <w:tcW w:w="355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Decisão de arquitetura</w:t>
            </w:r>
          </w:p>
        </w:tc>
        <w:tc>
          <w:tcPr>
            <w:tcW w:w="318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Requisitos e regras atendidos</w:t>
            </w:r>
          </w:p>
        </w:tc>
        <w:tc>
          <w:tcPr>
            <w:tcW w:w="26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Dor, anomalia ou risco tratado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Upload como única entrada, por autorização pré-assinada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RF-01, RN-26, RNF-05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D-02, AN-25, RA-10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Pipeline serverless disparado por evento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RNF-01, RNF-12, RF-02 a RF-09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D-01, D-14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Hash do arquivo com gravação condicional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RN-20, RN-22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D-09, AN-06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Quarentena separada de falha técnica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RF-04, UC-06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AN-03, AN-05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Cálculo em função versionada, orçamento persistido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RF-06, RF-07, RNF-08, RNF-09, RN-31, RN-36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D-04, D-08, AN-17, RA-05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Bucket de certificados com Object Lock e versões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RNF-03, RN-15, RN-22, RN-30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D-10, RA-06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Regras de ciclo de vida de 5 anos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RN-35, DE-04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RA-10, PV-09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Cognito com grupos e segundo fator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RNF-05, RF-12, RN-12, RN-21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AN-22, RA-09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Tabela de auditoria somente de inserção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RF-14, RNF-04, RN-21, RN-24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D-10, RA-06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Verificação pública por token e hash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RF-16, RNF-03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RA-07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Criptografia em repouso e TLS obrigatório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RNF-06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RA-10, RA-11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Minimização de dados pessoais, região São Paulo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RNF-07, RN-24, RN-35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RA-12</w:t>
            </w:r>
          </w:p>
        </w:tc>
      </w:tr>
      <w:tr>
        <w:trPr/>
        <w:tc>
          <w:tcPr>
            <w:tcW w:w="355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Fila de falhas, alarmes e notificação</w:t>
            </w:r>
          </w:p>
        </w:tc>
        <w:tc>
          <w:tcPr>
            <w:tcW w:w="3183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RNF-10</w:t>
            </w:r>
          </w:p>
        </w:tc>
        <w:tc>
          <w:tcPr>
            <w:tcW w:w="2621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AN-03, D-13</w:t>
            </w:r>
          </w:p>
        </w:tc>
      </w:tr>
    </w:tbl>
    <w:p>
      <w:pPr>
        <w:pStyle w:val="BodyText"/>
        <w:jc w:val="both"/>
        <w:rPr/>
      </w:pPr>
      <w:bookmarkStart w:id="55" w:name="rastreabilidade-com-a-entrega-01"/>
      <w:r>
        <w:rPr/>
        <w:t>Dois requisitos da AV01 ficam explicitamente fora desta arquitetura, por definição da empresa: a exportação do registro para o LightLab (RF-19), em razão de DE-01, e a assinatura com certificado ICP-Brasil (PV-10), em razão de DE-03. Ambos permanecem no roteiro de evolução, junto com o painel operacional (RF-20) e o histórico de tendência (RF-22), que a modelagem da Seção 3.2 já comporta pelos índices GSI1 e GSI2.</w:t>
      </w:r>
      <w:bookmarkEnd w:id="55"/>
    </w:p>
    <w:p>
      <w:pPr>
        <w:pStyle w:val="Heading1"/>
        <w:rPr/>
      </w:pPr>
      <w:r>
        <w:rPr/>
        <w:t>6. Premissas, restrições e pontos a validar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747"/>
        <w:gridCol w:w="1217"/>
        <w:gridCol w:w="4119"/>
        <w:gridCol w:w="3276"/>
      </w:tblGrid>
      <w:tr>
        <w:trPr>
          <w:tblHeader w:val="true"/>
        </w:trPr>
        <w:tc>
          <w:tcPr>
            <w:tcW w:w="74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ID</w:t>
            </w:r>
          </w:p>
        </w:tc>
        <w:tc>
          <w:tcPr>
            <w:tcW w:w="121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Tipo</w:t>
            </w:r>
          </w:p>
        </w:tc>
        <w:tc>
          <w:tcPr>
            <w:tcW w:w="41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Item</w:t>
            </w:r>
          </w:p>
        </w:tc>
        <w:tc>
          <w:tcPr>
            <w:tcW w:w="327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Impacto se a premissa for falsa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PV-01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Respondido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Integração com LightLab — não haverá (DE-01)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PV-08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Respondido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Exportação nativa do Calypso — fora do escopo (DE-01)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PV-09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Respondido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Retenção de 5 anos com ciclo de vida no storage (DE-04)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PV-10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Respondido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ICP-Brasil não é necessária na PoC (DE-03)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—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PV-05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[PREMISSA]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Volume de 137 certificados por ano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 matriz suporta 10 vezes esse volume abaixo de 1% das cotas; só altera o ROI da Entrega 05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PV-17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[PREMISSA]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 PoC roda em conta AWS nova e dedicada, no plano gratuito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Em conta antiga, S3 e API Gateway seriam cobrados: cerca de US$ 0,03 por mês. Em ambiente de laboratório acadêmico, a criação de papéis e de orçamentos pode estar bloqueada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PV-18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[VALIDAR]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Tarifas de S3 e API Gateway em sa-east-1, na AWS Pricing Calculator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Usadas tarifas-teto; o consumo de créditos estimado é um limite superior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PV-19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[PREMISSA]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Layout exato da planilha sanitizada (abas e colunas) como contrato de entrada, a fixar na Entrega 03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Altera apenas a etapa E5 do pipeline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PV-20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[VALIDAR]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Base legal e prazo de guarda dos dados pessoais, com o encarregado de dados da Schulz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Pode exigir prazo distinto para o identificador do usuário nas tabelas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PV-21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[VALIDAR]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A aprovação pelo signatário é obrigatória antes da emissão, ou a empresa quer emissão totalmente automática?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Sem aprovação, os passos 8 e 9 se fundem e a emissão ocorre logo após a ingestão; o desenho suporta os dois modos por configuração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PV-22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[PREMISSA]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Tempos de execução das funções (8 s e 6 s) são tetos estimados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Serão medidos na Entrega 03; mesmo 10 vezes maiores ficariam abaixo de 7% da cota, no cenário 10×</w:t>
            </w:r>
          </w:p>
        </w:tc>
      </w:tr>
      <w:tr>
        <w:trPr/>
        <w:tc>
          <w:tcPr>
            <w:tcW w:w="7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PV-23</w:t>
            </w:r>
          </w:p>
        </w:tc>
        <w:tc>
          <w:tcPr>
            <w:tcW w:w="121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[RESTRIÇÃO]</w:t>
            </w:r>
          </w:p>
        </w:tc>
        <w:tc>
          <w:tcPr>
            <w:tcW w:w="4119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Custo de R$ 0,00 na PoC; nenhuma conversão para plano pago sem decisão registrada</w:t>
            </w:r>
          </w:p>
        </w:tc>
        <w:tc>
          <w:tcPr>
            <w:tcW w:w="3276" w:type="dxa"/>
            <w:tcBorders/>
          </w:tcPr>
          <w:p>
            <w:pPr>
              <w:pStyle w:val="Compact"/>
              <w:widowControl/>
              <w:spacing w:before="36" w:after="36"/>
              <w:jc w:val="both"/>
              <w:rPr>
                <w:rFonts w:ascii="Cambria" w:hAnsi="Cambria" w:eastAsia="Cambria" w:cs=""/>
                <w:kern w:val="0"/>
                <w:sz w:val="16"/>
                <w:szCs w:val="16"/>
                <w:lang w:val="pt-BR" w:eastAsia="en-US" w:bidi="ar-SA"/>
              </w:rPr>
            </w:pPr>
            <w:r>
              <w:rPr>
                <w:rFonts w:eastAsia="Cambria" w:cs=""/>
                <w:kern w:val="0"/>
                <w:sz w:val="16"/>
                <w:szCs w:val="16"/>
                <w:lang w:val="pt-BR" w:eastAsia="en-US" w:bidi="ar-SA"/>
              </w:rPr>
              <w:t>Define a exclusão de KMS com chave própria, RDS e recuperação contínua do DynamoDB</w:t>
            </w:r>
            <w:bookmarkStart w:id="56" w:name="premissas-restrições-e-pontos-a-validar"/>
            <w:bookmarkEnd w:id="56"/>
          </w:p>
        </w:tc>
      </w:tr>
    </w:tbl>
    <w:p>
      <w:pPr>
        <w:pStyle w:val="Heading1"/>
        <w:rPr/>
      </w:pPr>
      <w:r>
        <w:rPr/>
        <w:t>7. Referências consultadas</w:t>
      </w:r>
    </w:p>
    <w:p>
      <w:pPr>
        <w:pStyle w:val="FirstParagraph"/>
        <w:rPr/>
      </w:pPr>
      <w:r>
        <w:rPr/>
        <w:t>Todas as páginas foram consultadas em 02/10/2026.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AWS. </w:t>
      </w:r>
      <w:r>
        <w:rPr>
          <w:i/>
          <w:iCs/>
        </w:rPr>
        <w:t>AWS Free Tier update: New customers can get started and explore AWS with up to $200 in credits</w:t>
      </w:r>
      <w:r>
        <w:rPr/>
        <w:t xml:space="preserve"> (15/07/2025). </w:t>
      </w:r>
      <w:hyperlink r:id="rId3">
        <w:r>
          <w:rPr>
            <w:rStyle w:val="Hyperlink"/>
          </w:rPr>
          <w:t>https://aws.amazon.com/blogs/aws/aws-free-tier-update-new-customers-can-get-started-and-explore-aws-with-up-to-200-in-credits/</w:t>
        </w:r>
      </w:hyperlink>
    </w:p>
    <w:p>
      <w:pPr>
        <w:pStyle w:val="Compact"/>
        <w:numPr>
          <w:ilvl w:val="0"/>
          <w:numId w:val="14"/>
        </w:numPr>
        <w:rPr/>
      </w:pPr>
      <w:r>
        <w:rPr/>
        <w:t xml:space="preserve">AWS. </w:t>
      </w:r>
      <w:r>
        <w:rPr>
          <w:i/>
          <w:iCs/>
        </w:rPr>
        <w:t>AWS Free Tier</w:t>
      </w:r>
      <w:r>
        <w:rPr/>
        <w:t xml:space="preserve"> e </w:t>
      </w:r>
      <w:r>
        <w:rPr>
          <w:i/>
          <w:iCs/>
        </w:rPr>
        <w:t>Free Tier FAQs</w:t>
      </w:r>
      <w:r>
        <w:rPr/>
        <w:t xml:space="preserve">. </w:t>
      </w:r>
      <w:hyperlink r:id="rId4">
        <w:r>
          <w:rPr>
            <w:rStyle w:val="Hyperlink"/>
          </w:rPr>
          <w:t>https://aws.amazon.com/free/</w:t>
        </w:r>
      </w:hyperlink>
      <w:r>
        <w:rPr/>
        <w:t xml:space="preserve"> · </w:t>
      </w:r>
      <w:hyperlink r:id="rId5">
        <w:r>
          <w:rPr>
            <w:rStyle w:val="Hyperlink"/>
          </w:rPr>
          <w:t>https://aws.amazon.com/free/free-tier-faqs/</w:t>
        </w:r>
      </w:hyperlink>
    </w:p>
    <w:p>
      <w:pPr>
        <w:pStyle w:val="Compact"/>
        <w:numPr>
          <w:ilvl w:val="0"/>
          <w:numId w:val="15"/>
        </w:numPr>
        <w:rPr/>
      </w:pPr>
      <w:r>
        <w:rPr/>
        <w:t xml:space="preserve">AWS Billing. </w:t>
      </w:r>
      <w:r>
        <w:rPr>
          <w:i/>
          <w:iCs/>
        </w:rPr>
        <w:t>Using the AWS Free Tier</w:t>
      </w:r>
      <w:r>
        <w:rPr/>
        <w:t xml:space="preserve"> e </w:t>
      </w:r>
      <w:r>
        <w:rPr>
          <w:i/>
          <w:iCs/>
        </w:rPr>
        <w:t>Choosing an AWS Free Tier plan</w:t>
      </w:r>
      <w:r>
        <w:rPr/>
        <w:t xml:space="preserve">. </w:t>
      </w:r>
      <w:hyperlink r:id="rId6">
        <w:r>
          <w:rPr>
            <w:rStyle w:val="Hyperlink"/>
          </w:rPr>
          <w:t>https://docs.aws.amazon.com/awsaccountbilling/latest/aboutv2/free-tier.html</w:t>
        </w:r>
      </w:hyperlink>
      <w:r>
        <w:rPr/>
        <w:t xml:space="preserve"> · </w:t>
      </w:r>
      <w:hyperlink r:id="rId7">
        <w:r>
          <w:rPr>
            <w:rStyle w:val="Hyperlink"/>
          </w:rPr>
          <w:t>https://docs.aws.amazon.com/awsaccountbilling/latest/aboutv2/free-tier-plans.html</w:t>
        </w:r>
      </w:hyperlink>
    </w:p>
    <w:p>
      <w:pPr>
        <w:pStyle w:val="Compact"/>
        <w:numPr>
          <w:ilvl w:val="0"/>
          <w:numId w:val="16"/>
        </w:numPr>
        <w:rPr/>
      </w:pPr>
      <w:r>
        <w:rPr/>
        <w:t xml:space="preserve">AWS Lambda. </w:t>
      </w:r>
      <w:r>
        <w:rPr>
          <w:i/>
          <w:iCs/>
        </w:rPr>
        <w:t>Pricing</w:t>
      </w:r>
      <w:r>
        <w:rPr/>
        <w:t xml:space="preserve">; </w:t>
      </w:r>
      <w:r>
        <w:rPr>
          <w:i/>
          <w:iCs/>
        </w:rPr>
        <w:t>Lambda quotas</w:t>
      </w:r>
      <w:r>
        <w:rPr/>
        <w:t xml:space="preserve">; </w:t>
      </w:r>
      <w:r>
        <w:rPr>
          <w:i/>
          <w:iCs/>
        </w:rPr>
        <w:t>Using AWS Lambda with Amazon S3</w:t>
      </w:r>
      <w:r>
        <w:rPr/>
        <w:t xml:space="preserve">; </w:t>
      </w:r>
      <w:r>
        <w:rPr>
          <w:i/>
          <w:iCs/>
        </w:rPr>
        <w:t>Asynchronous invocation — error handling</w:t>
      </w:r>
      <w:r>
        <w:rPr/>
        <w:t xml:space="preserve">. </w:t>
      </w:r>
      <w:hyperlink r:id="rId8">
        <w:r>
          <w:rPr>
            <w:rStyle w:val="Hyperlink"/>
          </w:rPr>
          <w:t>https://aws.amazon.com/lambda/pricing/</w:t>
        </w:r>
      </w:hyperlink>
      <w:r>
        <w:rPr/>
        <w:t xml:space="preserve"> · </w:t>
      </w:r>
      <w:hyperlink r:id="rId9">
        <w:r>
          <w:rPr>
            <w:rStyle w:val="Hyperlink"/>
          </w:rPr>
          <w:t>https://docs.aws.amazon.com/lambda/latest/dg/gettingstarted-limits.html</w:t>
        </w:r>
      </w:hyperlink>
      <w:r>
        <w:rPr/>
        <w:t xml:space="preserve"> · </w:t>
      </w:r>
      <w:hyperlink r:id="rId10">
        <w:r>
          <w:rPr>
            <w:rStyle w:val="Hyperlink"/>
          </w:rPr>
          <w:t>https://docs.aws.amazon.com/lambda/latest/dg/with-s3.html</w:t>
        </w:r>
      </w:hyperlink>
      <w:r>
        <w:rPr/>
        <w:t xml:space="preserve"> · </w:t>
      </w:r>
      <w:hyperlink r:id="rId11">
        <w:r>
          <w:rPr>
            <w:rStyle w:val="Hyperlink"/>
          </w:rPr>
          <w:t>https://docs.aws.amazon.com/lambda/latest/dg/invocation-async-error-handling.html</w:t>
        </w:r>
      </w:hyperlink>
    </w:p>
    <w:p>
      <w:pPr>
        <w:pStyle w:val="Compact"/>
        <w:numPr>
          <w:ilvl w:val="0"/>
          <w:numId w:val="17"/>
        </w:numPr>
        <w:rPr/>
      </w:pPr>
      <w:r>
        <w:rPr/>
        <w:t xml:space="preserve">Amazon DynamoDB. </w:t>
      </w:r>
      <w:r>
        <w:rPr>
          <w:i/>
          <w:iCs/>
        </w:rPr>
        <w:t>Pricing</w:t>
      </w:r>
      <w:r>
        <w:rPr/>
        <w:t xml:space="preserve"> e </w:t>
      </w:r>
      <w:r>
        <w:rPr>
          <w:i/>
          <w:iCs/>
        </w:rPr>
        <w:t>Encryption at rest</w:t>
      </w:r>
      <w:r>
        <w:rPr/>
        <w:t xml:space="preserve">. </w:t>
      </w:r>
      <w:hyperlink r:id="rId12">
        <w:r>
          <w:rPr>
            <w:rStyle w:val="Hyperlink"/>
          </w:rPr>
          <w:t>https://aws.amazon.com/dynamodb/pricing/on-demand/</w:t>
        </w:r>
      </w:hyperlink>
      <w:r>
        <w:rPr/>
        <w:t xml:space="preserve"> · </w:t>
      </w:r>
      <w:hyperlink r:id="rId13">
        <w:r>
          <w:rPr>
            <w:rStyle w:val="Hyperlink"/>
          </w:rPr>
          <w:t>https://docs.aws.amazon.com/amazondynamodb/latest/developerguide/EncryptionAtRest.html</w:t>
        </w:r>
      </w:hyperlink>
    </w:p>
    <w:p>
      <w:pPr>
        <w:pStyle w:val="Compact"/>
        <w:numPr>
          <w:ilvl w:val="0"/>
          <w:numId w:val="18"/>
        </w:numPr>
        <w:rPr/>
      </w:pPr>
      <w:r>
        <w:rPr/>
        <w:t xml:space="preserve">Amazon S3. </w:t>
      </w:r>
      <w:r>
        <w:rPr>
          <w:i/>
          <w:iCs/>
        </w:rPr>
        <w:t>Pricing</w:t>
      </w:r>
      <w:r>
        <w:rPr/>
        <w:t xml:space="preserve">; </w:t>
      </w:r>
      <w:r>
        <w:rPr>
          <w:i/>
          <w:iCs/>
        </w:rPr>
        <w:t>Lifecycle transition general considerations</w:t>
      </w:r>
      <w:r>
        <w:rPr/>
        <w:t xml:space="preserve">; </w:t>
      </w:r>
      <w:r>
        <w:rPr>
          <w:i/>
          <w:iCs/>
        </w:rPr>
        <w:t>Object Lock</w:t>
      </w:r>
      <w:r>
        <w:rPr/>
        <w:t xml:space="preserve">; </w:t>
      </w:r>
      <w:r>
        <w:rPr>
          <w:i/>
          <w:iCs/>
        </w:rPr>
        <w:t>Protecting data with encryption</w:t>
      </w:r>
      <w:r>
        <w:rPr/>
        <w:t xml:space="preserve">. </w:t>
      </w:r>
      <w:hyperlink r:id="rId14">
        <w:r>
          <w:rPr>
            <w:rStyle w:val="Hyperlink"/>
          </w:rPr>
          <w:t>https://aws.amazon.com/s3/pricing/</w:t>
        </w:r>
      </w:hyperlink>
      <w:r>
        <w:rPr/>
        <w:t xml:space="preserve"> · </w:t>
      </w:r>
      <w:hyperlink r:id="rId15">
        <w:r>
          <w:rPr>
            <w:rStyle w:val="Hyperlink"/>
          </w:rPr>
          <w:t>https://docs.aws.amazon.com/AmazonS3/latest/userguide/lifecycle-transition-general-considerations.html</w:t>
        </w:r>
      </w:hyperlink>
      <w:r>
        <w:rPr/>
        <w:t xml:space="preserve"> · </w:t>
      </w:r>
      <w:hyperlink r:id="rId16">
        <w:r>
          <w:rPr>
            <w:rStyle w:val="Hyperlink"/>
          </w:rPr>
          <w:t>https://docs.aws.amazon.com/AmazonS3/latest/userguide/object-lock.html</w:t>
        </w:r>
      </w:hyperlink>
      <w:r>
        <w:rPr/>
        <w:t xml:space="preserve"> · </w:t>
      </w:r>
      <w:hyperlink r:id="rId17">
        <w:r>
          <w:rPr>
            <w:rStyle w:val="Hyperlink"/>
          </w:rPr>
          <w:t>https://docs.aws.amazon.com/AmazonS3/latest/userguide/UsingEncryption.html</w:t>
        </w:r>
      </w:hyperlink>
    </w:p>
    <w:p>
      <w:pPr>
        <w:pStyle w:val="Compact"/>
        <w:numPr>
          <w:ilvl w:val="0"/>
          <w:numId w:val="19"/>
        </w:numPr>
        <w:rPr/>
      </w:pPr>
      <w:r>
        <w:rPr/>
        <w:t xml:space="preserve">Amazon Cognito, Amazon API Gateway, Amazon SQS, Amazon SNS, AWS KMS, Amazon CloudWatch e AWS Budgets. Páginas de preços. </w:t>
      </w:r>
      <w:hyperlink r:id="rId18">
        <w:r>
          <w:rPr>
            <w:rStyle w:val="Hyperlink"/>
          </w:rPr>
          <w:t>https://aws.amazon.com/cognito/pricing/</w:t>
        </w:r>
      </w:hyperlink>
      <w:r>
        <w:rPr/>
        <w:t xml:space="preserve"> · </w:t>
      </w:r>
      <w:hyperlink r:id="rId19">
        <w:r>
          <w:rPr>
            <w:rStyle w:val="Hyperlink"/>
          </w:rPr>
          <w:t>https://aws.amazon.com/api-gateway/pricing/</w:t>
        </w:r>
      </w:hyperlink>
      <w:r>
        <w:rPr/>
        <w:t xml:space="preserve"> · </w:t>
      </w:r>
      <w:hyperlink r:id="rId20">
        <w:r>
          <w:rPr>
            <w:rStyle w:val="Hyperlink"/>
          </w:rPr>
          <w:t>https://aws.amazon.com/sqs/pricing/</w:t>
        </w:r>
      </w:hyperlink>
      <w:r>
        <w:rPr/>
        <w:t xml:space="preserve"> · </w:t>
      </w:r>
      <w:hyperlink r:id="rId21">
        <w:r>
          <w:rPr>
            <w:rStyle w:val="Hyperlink"/>
          </w:rPr>
          <w:t>https://aws.amazon.com/sns/faqs/</w:t>
        </w:r>
      </w:hyperlink>
      <w:r>
        <w:rPr/>
        <w:t xml:space="preserve"> · </w:t>
      </w:r>
      <w:hyperlink r:id="rId22">
        <w:r>
          <w:rPr>
            <w:rStyle w:val="Hyperlink"/>
          </w:rPr>
          <w:t>https://aws.amazon.com/kms/pricing/</w:t>
        </w:r>
      </w:hyperlink>
      <w:r>
        <w:rPr/>
        <w:t xml:space="preserve"> · </w:t>
      </w:r>
      <w:hyperlink r:id="rId23">
        <w:r>
          <w:rPr>
            <w:rStyle w:val="Hyperlink"/>
          </w:rPr>
          <w:t>https://aws.amazon.com/cloudwatch/pricing/</w:t>
        </w:r>
      </w:hyperlink>
      <w:r>
        <w:rPr/>
        <w:t xml:space="preserve"> · </w:t>
      </w:r>
      <w:hyperlink r:id="rId24">
        <w:r>
          <w:rPr>
            <w:rStyle w:val="Hyperlink"/>
          </w:rPr>
          <w:t>https://aws.amazon.com/aws-cost-management/aws-budgets/pricing/</w:t>
        </w:r>
      </w:hyperlink>
    </w:p>
    <w:p>
      <w:pPr>
        <w:pStyle w:val="Compact"/>
        <w:numPr>
          <w:ilvl w:val="0"/>
          <w:numId w:val="20"/>
        </w:numPr>
        <w:rPr/>
      </w:pPr>
      <w:r>
        <w:rPr/>
        <w:t xml:space="preserve">Grupo 39. </w:t>
      </w:r>
      <w:r>
        <w:rPr>
          <w:i/>
          <w:iCs/>
        </w:rPr>
        <w:t>Identificação do Problema e Levantamento de Requisitos</w:t>
      </w:r>
      <w:r>
        <w:rPr/>
        <w:t xml:space="preserve"> (Entrega AV1, 15/09/2026).</w:t>
      </w:r>
    </w:p>
    <w:p>
      <w:pPr>
        <w:pStyle w:val="Compact"/>
        <w:numPr>
          <w:ilvl w:val="0"/>
          <w:numId w:val="21"/>
        </w:numPr>
        <w:spacing w:before="36" w:after="36"/>
        <w:rPr/>
      </w:pPr>
      <w:r>
        <w:rPr/>
        <w:t>Schulz S.A. Orientações de escopo para a Entrega 02, recebidas em 17/09/2026.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0"/>
      <w:szCs w:val="20"/>
      <w:lang w:val="pt-BR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1"/>
      <w:szCs w:val="21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16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26"/>
      <w:szCs w:val="26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0"/>
      <w:szCs w:val="20"/>
      <w:lang w:val="pt-BR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0"/>
      <w:szCs w:val="20"/>
      <w:lang w:val="pt-BR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rPr>
      <w:sz w:val="16"/>
      <w:szCs w:val="16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aws.amazon.com/blogs/aws/aws-free-tier-update-new-customers-can-get-started-and-explore-aws-with-up-to-200-in-credits/" TargetMode="External"/><Relationship Id="rId4" Type="http://schemas.openxmlformats.org/officeDocument/2006/relationships/hyperlink" Target="https://aws.amazon.com/free/" TargetMode="External"/><Relationship Id="rId5" Type="http://schemas.openxmlformats.org/officeDocument/2006/relationships/hyperlink" Target="https://aws.amazon.com/free/free-tier-faqs/" TargetMode="External"/><Relationship Id="rId6" Type="http://schemas.openxmlformats.org/officeDocument/2006/relationships/hyperlink" Target="https://docs.aws.amazon.com/awsaccountbilling/latest/aboutv2/free-tier.html" TargetMode="External"/><Relationship Id="rId7" Type="http://schemas.openxmlformats.org/officeDocument/2006/relationships/hyperlink" Target="https://docs.aws.amazon.com/awsaccountbilling/latest/aboutv2/free-tier-plans.html" TargetMode="External"/><Relationship Id="rId8" Type="http://schemas.openxmlformats.org/officeDocument/2006/relationships/hyperlink" Target="https://aws.amazon.com/lambda/pricing/" TargetMode="External"/><Relationship Id="rId9" Type="http://schemas.openxmlformats.org/officeDocument/2006/relationships/hyperlink" Target="https://docs.aws.amazon.com/lambda/latest/dg/gettingstarted-limits.html" TargetMode="External"/><Relationship Id="rId10" Type="http://schemas.openxmlformats.org/officeDocument/2006/relationships/hyperlink" Target="https://docs.aws.amazon.com/lambda/latest/dg/with-s3.html" TargetMode="External"/><Relationship Id="rId11" Type="http://schemas.openxmlformats.org/officeDocument/2006/relationships/hyperlink" Target="https://docs.aws.amazon.com/lambda/latest/dg/invocation-async-error-handling.html" TargetMode="External"/><Relationship Id="rId12" Type="http://schemas.openxmlformats.org/officeDocument/2006/relationships/hyperlink" Target="https://aws.amazon.com/dynamodb/pricing/on-demand/" TargetMode="External"/><Relationship Id="rId13" Type="http://schemas.openxmlformats.org/officeDocument/2006/relationships/hyperlink" Target="https://docs.aws.amazon.com/amazondynamodb/latest/developerguide/EncryptionAtRest.html" TargetMode="External"/><Relationship Id="rId14" Type="http://schemas.openxmlformats.org/officeDocument/2006/relationships/hyperlink" Target="https://aws.amazon.com/s3/pricing/" TargetMode="External"/><Relationship Id="rId15" Type="http://schemas.openxmlformats.org/officeDocument/2006/relationships/hyperlink" Target="https://docs.aws.amazon.com/AmazonS3/latest/userguide/lifecycle-transition-general-considerations.html" TargetMode="External"/><Relationship Id="rId16" Type="http://schemas.openxmlformats.org/officeDocument/2006/relationships/hyperlink" Target="https://docs.aws.amazon.com/AmazonS3/latest/userguide/object-lock.html" TargetMode="External"/><Relationship Id="rId17" Type="http://schemas.openxmlformats.org/officeDocument/2006/relationships/hyperlink" Target="https://docs.aws.amazon.com/AmazonS3/latest/userguide/UsingEncryption.html" TargetMode="External"/><Relationship Id="rId18" Type="http://schemas.openxmlformats.org/officeDocument/2006/relationships/hyperlink" Target="https://aws.amazon.com/cognito/pricing/" TargetMode="External"/><Relationship Id="rId19" Type="http://schemas.openxmlformats.org/officeDocument/2006/relationships/hyperlink" Target="https://aws.amazon.com/api-gateway/pricing/" TargetMode="External"/><Relationship Id="rId20" Type="http://schemas.openxmlformats.org/officeDocument/2006/relationships/hyperlink" Target="https://aws.amazon.com/sqs/pricing/" TargetMode="External"/><Relationship Id="rId21" Type="http://schemas.openxmlformats.org/officeDocument/2006/relationships/hyperlink" Target="https://aws.amazon.com/sns/faqs/" TargetMode="External"/><Relationship Id="rId22" Type="http://schemas.openxmlformats.org/officeDocument/2006/relationships/hyperlink" Target="https://aws.amazon.com/kms/pricing/" TargetMode="External"/><Relationship Id="rId23" Type="http://schemas.openxmlformats.org/officeDocument/2006/relationships/hyperlink" Target="https://aws.amazon.com/cloudwatch/pricing/" TargetMode="External"/><Relationship Id="rId24" Type="http://schemas.openxmlformats.org/officeDocument/2006/relationships/hyperlink" Target="https://aws.amazon.com/aws-cost-management/aws-budgets/pricing/" TargetMode="Externa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22</Pages>
  <Words>9060</Words>
  <Characters>48493</Characters>
  <CharactersWithSpaces>57060</CharactersWithSpaces>
  <Paragraphs>704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2026-10-02T23:46:36Z</dcterms:created>
  <dc:creator>Grupo 39 — Adrian David Castillo Marcano · Nícolas Kretzschmar Lange · Rodrigo Mainardes Ribeiro</dc:creator>
  <dc:description/>
  <dc:language>pt-BR</dc:language>
  <cp:lastModifiedBy/>
  <cp:lastPrinted>2026-10-02T20:57:17Z</cp:lastPrinted>
  <dcterms:modified xsi:type="dcterms:W3CDTF">2026-10-02T20:57:24Z</dcterms:modified>
  <cp:revision>1</cp:revision>
  <dc:subject/>
  <dc:title>Arquitetura em Nuvem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Projeto Aplicado III — Tema 02 — Entrega AV2 — 02/10/2026</vt:lpwstr>
  </property>
  <property fmtid="{D5CDD505-2E9C-101B-9397-08002B2CF9AE}" pid="3" name="subtitle">
    <vt:lpwstr>Automação da Emissão de Certificados de Calibração — Schulz S.A.</vt:lpwstr>
  </property>
</Properties>
</file>