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5.png" ContentType="image/png"/>
  <Override PartName="/word/media/rId4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</w:t>
      </w:r>
      <w:r>
        <w:t xml:space="preserve"> </w:t>
      </w:r>
      <w:r>
        <w:t xml:space="preserve">—</w:t>
      </w:r>
      <w:r>
        <w:t xml:space="preserve"> </w:t>
      </w:r>
      <w:r>
        <w:t xml:space="preserve">Parte</w:t>
      </w:r>
      <w:r>
        <w:t xml:space="preserve"> </w:t>
      </w:r>
      <w:r>
        <w:t xml:space="preserve">1:</w:t>
      </w:r>
      <w:r>
        <w:t xml:space="preserve"> </w:t>
      </w:r>
      <w:r>
        <w:t xml:space="preserve">Aplicação</w:t>
      </w:r>
      <w:r>
        <w:t xml:space="preserve"> </w:t>
      </w:r>
      <w:r>
        <w:t xml:space="preserve">Transacional</w:t>
      </w:r>
    </w:p>
    <w:p>
      <w:pPr>
        <w:pStyle w:val="Subtitle"/>
      </w:pPr>
      <w:r>
        <w:t xml:space="preserve">Automação</w:t>
      </w:r>
      <w:r>
        <w:t xml:space="preserve"> </w:t>
      </w:r>
      <w:r>
        <w:t xml:space="preserve">da</w:t>
      </w:r>
      <w:r>
        <w:t xml:space="preserve"> </w:t>
      </w:r>
      <w:r>
        <w:t xml:space="preserve">Emissão</w:t>
      </w:r>
      <w:r>
        <w:t xml:space="preserve"> </w:t>
      </w:r>
      <w:r>
        <w:t xml:space="preserve">de</w:t>
      </w:r>
      <w:r>
        <w:t xml:space="preserve"> </w:t>
      </w:r>
      <w:r>
        <w:t xml:space="preserve">Certificados</w:t>
      </w:r>
      <w:r>
        <w:t xml:space="preserve"> </w:t>
      </w:r>
      <w:r>
        <w:t xml:space="preserve">de</w:t>
      </w:r>
      <w:r>
        <w:t xml:space="preserve"> </w:t>
      </w:r>
      <w:r>
        <w:t xml:space="preserve">Calibração</w:t>
      </w:r>
      <w:r>
        <w:t xml:space="preserve"> </w:t>
      </w:r>
      <w:r>
        <w:t xml:space="preserve">—</w:t>
      </w:r>
      <w:r>
        <w:t xml:space="preserve"> </w:t>
      </w:r>
      <w:r>
        <w:t xml:space="preserve">Schulz</w:t>
      </w:r>
      <w:r>
        <w:t xml:space="preserve"> </w:t>
      </w:r>
      <w:r>
        <w:t xml:space="preserve">S.A.</w:t>
      </w:r>
    </w:p>
    <w:p>
      <w:pPr>
        <w:pStyle w:val="Author"/>
      </w:pPr>
      <w:r>
        <w:t xml:space="preserve">Rodrigo</w:t>
      </w:r>
      <w:r>
        <w:t xml:space="preserve"> </w:t>
      </w:r>
      <w:r>
        <w:t xml:space="preserve">Mainardes</w:t>
      </w:r>
      <w:r>
        <w:t xml:space="preserve"> </w:t>
      </w:r>
      <w:r>
        <w:t xml:space="preserve">Ribeiro</w:t>
      </w:r>
    </w:p>
    <w:p>
      <w:pPr>
        <w:pStyle w:val="Date"/>
      </w:pPr>
      <w:r>
        <w:t xml:space="preserve">Projeto</w:t>
      </w:r>
      <w:r>
        <w:t xml:space="preserve"> </w:t>
      </w:r>
      <w:r>
        <w:t xml:space="preserve">Aplicado</w:t>
      </w:r>
      <w:r>
        <w:t xml:space="preserve"> </w:t>
      </w:r>
      <w:r>
        <w:t xml:space="preserve">III</w:t>
      </w:r>
      <w:r>
        <w:t xml:space="preserve"> </w:t>
      </w:r>
      <w:r>
        <w:t xml:space="preserve">—</w:t>
      </w:r>
      <w:r>
        <w:t xml:space="preserve"> </w:t>
      </w:r>
      <w:r>
        <w:t xml:space="preserve">Entrega</w:t>
      </w:r>
      <w:r>
        <w:t xml:space="preserve"> </w:t>
      </w:r>
      <w:r>
        <w:t xml:space="preserve">AV3</w:t>
      </w:r>
      <w:r>
        <w:t xml:space="preserve"> </w:t>
      </w:r>
      <w:r>
        <w:t xml:space="preserve">—</w:t>
      </w:r>
      <w:r>
        <w:t xml:space="preserve"> </w:t>
      </w:r>
      <w:r>
        <w:t xml:space="preserve">15/10/2026</w:t>
      </w:r>
    </w:p>
    <w:tbl>
      <w:tblPr>
        <w:tblStyle w:val="Table"/>
        <w:tblW w:w="5000" w:type="pct"/>
        <w:jc w:val="left"/>
        <w:tblInd w:w="108" w:type="dxa"/>
        <w:tblLayout w:type="fixed"/>
        <w:tblLook w:firstRow="0" w:lastRow="0" w:firstColumn="0" w:lastColumn="0" w:noHBand="0" w:noVBand="0" w:val="0000"/>
      </w:tblPr>
      <w:tblGrid>
        <w:gridCol w:w="2034"/>
        <w:gridCol w:w="7325"/>
      </w:tblGrid>
      <w:tr>
        <w:tc>
          <w:tcPr>
            <w:tcW w:w="203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Unidade Curricular</w:t>
            </w:r>
          </w:p>
        </w:tc>
        <w:tc>
          <w:tcPr>
            <w:tcW w:w="7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Projeto Aplicado III — UniSENAI/SC</w:t>
            </w:r>
          </w:p>
        </w:tc>
      </w:tr>
      <w:tr>
        <w:tc>
          <w:tcPr>
            <w:tcW w:w="203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Docente</w:t>
            </w:r>
          </w:p>
        </w:tc>
        <w:tc>
          <w:tcPr>
            <w:tcW w:w="7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Prof. MSc. Hugo Menezes Barra</w:t>
            </w:r>
          </w:p>
        </w:tc>
      </w:tr>
      <w:tr>
        <w:tc>
          <w:tcPr>
            <w:tcW w:w="203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Empresa parceira</w:t>
            </w:r>
          </w:p>
        </w:tc>
        <w:tc>
          <w:tcPr>
            <w:tcW w:w="7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Schulz S.A. — Schulz Metrologia (Setor Dimensional), Joinville/SC</w:t>
            </w:r>
          </w:p>
        </w:tc>
      </w:tr>
      <w:tr>
        <w:tc>
          <w:tcPr>
            <w:tcW w:w="203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Autor</w:t>
            </w:r>
          </w:p>
        </w:tc>
        <w:tc>
          <w:tcPr>
            <w:tcW w:w="7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Rodrigo Mainardes Ribeiro</w:t>
            </w:r>
          </w:p>
        </w:tc>
      </w:tr>
      <w:tr>
        <w:tc>
          <w:tcPr>
            <w:tcW w:w="203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Etapa</w:t>
            </w:r>
          </w:p>
        </w:tc>
        <w:tc>
          <w:tcPr>
            <w:tcW w:w="7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Construção da aplicação transacional do MVP</w:t>
            </w:r>
          </w:p>
        </w:tc>
      </w:tr>
      <w:tr>
        <w:tc>
          <w:tcPr>
            <w:tcW w:w="203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Entrega</w:t>
            </w:r>
          </w:p>
        </w:tc>
        <w:tc>
          <w:tcPr>
            <w:tcW w:w="7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AV3 — MVP, parte 1 — 15/10/2026</w:t>
            </w:r>
          </w:p>
        </w:tc>
      </w:tr>
      <w:tr>
        <w:tc>
          <w:tcPr>
            <w:tcW w:w="203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Repositório</w:t>
            </w:r>
          </w:p>
        </w:tc>
        <w:tc>
          <w:tcPr>
            <w:tcW w:w="7325" w:type="dxa"/>
          </w:tcPr>
          <w:p>
            <w:pPr>
              <w:pStyle w:val="Compact"/>
              <w:jc w:val="both"/>
            </w:pPr>
            <w:hyperlink r:id="rId20">
              <w:r>
                <w:rPr>
                  <w:rStyle w:val="Hyperlink"/>
                  <w:sz w:val="16"/>
                  <w:szCs w:val="16"/>
                </w:rPr>
                <w:t xml:space="preserve">https://github.com/rmainardes/projeto-aplicado-iii</w:t>
              </w:r>
            </w:hyperlink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(público)</w:t>
            </w:r>
          </w:p>
        </w:tc>
      </w:tr>
      <w:tr>
        <w:tc>
          <w:tcPr>
            <w:tcW w:w="203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Stack</w:t>
            </w:r>
          </w:p>
        </w:tc>
        <w:tc>
          <w:tcPr>
            <w:tcW w:w="7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Java 17 · Spring Boot 4.1.1 · Apache POI 5.5.1 · HTML, CSS e JavaScript sem bibliotecas</w:t>
            </w:r>
          </w:p>
        </w:tc>
      </w:tr>
    </w:tbl>
    <w:bookmarkStart w:id="21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Introdução e vínculo com as entregas anteriores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Arquitetura do MVP</w:t>
      </w:r>
      <w:r>
        <w:t xml:space="preserve"> </w:t>
      </w:r>
      <w:r>
        <w:t xml:space="preserve">— 2.1 Visão geral · 2.2 Fluxo de uma requisição · 2.3 Coerência com a arquitetura em nuvem da AV2 · 2.4 Stack e dependências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Ingestão da planilha (Item 1.1)</w:t>
      </w:r>
      <w:r>
        <w:t xml:space="preserve"> </w:t>
      </w:r>
      <w:r>
        <w:t xml:space="preserve">— 3.1 Do dado real ao contrato · 3.2 Contrato da planilha · 3.3 Regras de rejeição · 3.4 Decisão sobre o formato OOXML Strict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Regras de negócio e cálculos metrológicos (Item 1.2)</w:t>
      </w:r>
      <w:r>
        <w:t xml:space="preserve"> </w:t>
      </w:r>
      <w:r>
        <w:t xml:space="preserve">— 4.1 Fórmulas · 4.2 Fronteira e tipos de tolerância · 4.3 Precisão numérica · 4.4 Invariantes do domínio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Interface web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Validação da entrada, segurança e LGPD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Testes e evidências (Item 3)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Rastreabilidade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Limitações e próximos passos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Premissas, restrições e pontos a validar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Repositório e reprodução</w:t>
      </w:r>
    </w:p>
    <w:p>
      <w:pPr>
        <w:pStyle w:val="Compact"/>
        <w:numPr>
          <w:ilvl w:val="0"/>
          <w:numId w:val="1001"/>
        </w:numPr>
        <w:jc w:val="both"/>
      </w:pPr>
      <w:r>
        <w:rPr>
          <w:bCs/>
          <w:b/>
        </w:rPr>
        <w:t xml:space="preserve">Referências consultadas</w:t>
      </w:r>
    </w:p>
    <w:bookmarkEnd w:id="21"/>
    <w:bookmarkStart w:id="22" w:name="nota-metodológica"/>
    <w:p>
      <w:pPr>
        <w:pStyle w:val="Heading2"/>
      </w:pPr>
      <w:r>
        <w:t xml:space="preserve">Nota metodológica</w:t>
      </w:r>
    </w:p>
    <w:p>
      <w:pPr>
        <w:pStyle w:val="FirstParagraph"/>
        <w:jc w:val="both"/>
      </w:pPr>
      <w:r>
        <w:t xml:space="preserve">Este relatório documenta o MVP construído para a AV3 e mantém as convenções das entregas anteriores. Cada decisão aponta para o item do roteiro e para o requisito (RF, RNF), a regra de negócio (RN), a anomalia (AN) ou o risco (RA) da AV1 que a justifica; a Seção 8 consolida essas ligações. O que não é evidência fica marcado:</w:t>
      </w:r>
      <w:r>
        <w:t xml:space="preserve"> </w:t>
      </w:r>
      <w:r>
        <w:rPr>
          <w:bCs/>
          <w:b/>
        </w:rPr>
        <w:t xml:space="preserve">[PREMISSA]</w:t>
      </w:r>
      <w:r>
        <w:t xml:space="preserve"> </w:t>
      </w:r>
      <w:r>
        <w:t xml:space="preserve">para suposição do autor,</w:t>
      </w:r>
      <w:r>
        <w:t xml:space="preserve"> </w:t>
      </w:r>
      <w:r>
        <w:rPr>
          <w:bCs/>
          <w:b/>
        </w:rPr>
        <w:t xml:space="preserve">[VALIDAR]</w:t>
      </w:r>
      <w:r>
        <w:t xml:space="preserve"> </w:t>
      </w:r>
      <w:r>
        <w:t xml:space="preserve">para pergunta em aberto à Schulz e</w:t>
      </w:r>
      <w:r>
        <w:t xml:space="preserve"> </w:t>
      </w:r>
      <w:r>
        <w:rPr>
          <w:bCs/>
          <w:b/>
        </w:rPr>
        <w:t xml:space="preserve">[RESTRIÇÃO]</w:t>
      </w:r>
      <w:r>
        <w:t xml:space="preserve"> </w:t>
      </w:r>
      <w:r>
        <w:t xml:space="preserve">para limite imposto ao projeto, todos reunidos na Seção 10.</w:t>
      </w:r>
    </w:p>
    <w:p>
      <w:pPr>
        <w:pStyle w:val="BodyText"/>
        <w:jc w:val="both"/>
      </w:pPr>
      <w:r>
        <w:t xml:space="preserve">Quatro famílias de identificadores aparecem no texto.</w:t>
      </w:r>
      <w:r>
        <w:t xml:space="preserve"> </w:t>
      </w:r>
      <w:r>
        <w:rPr>
          <w:bCs/>
          <w:b/>
        </w:rPr>
        <w:t xml:space="preserve">D-001 a D-014</w:t>
      </w:r>
      <w:r>
        <w:t xml:space="preserve"> </w:t>
      </w:r>
      <w:r>
        <w:t xml:space="preserve">são as decisões registradas em</w:t>
      </w:r>
      <w:r>
        <w:t xml:space="preserve"> </w:t>
      </w:r>
      <w:r>
        <w:rPr>
          <w:rStyle w:val="VerbatimChar"/>
        </w:rPr>
        <w:t xml:space="preserve">docs/decisoes.md</w:t>
      </w:r>
      <w:r>
        <w:t xml:space="preserve"> </w:t>
      </w:r>
      <w:r>
        <w:t xml:space="preserve">(três dígitos, para não confundir com as dores D-01 a D-14 da AV1).</w:t>
      </w:r>
      <w:r>
        <w:t xml:space="preserve"> </w:t>
      </w:r>
      <w:r>
        <w:rPr>
          <w:bCs/>
          <w:b/>
        </w:rPr>
        <w:t xml:space="preserve">D-T04-1 a D-T04-5</w:t>
      </w:r>
      <w:r>
        <w:t xml:space="preserve"> </w:t>
      </w:r>
      <w:r>
        <w:t xml:space="preserve">são as decisões do mapeamento entre o vocabulário do roteiro e os dados reais.</w:t>
      </w:r>
      <w:r>
        <w:t xml:space="preserve"> </w:t>
      </w:r>
      <w:r>
        <w:rPr>
          <w:bCs/>
          <w:b/>
        </w:rPr>
        <w:t xml:space="preserve">R01 a R15</w:t>
      </w:r>
      <w:r>
        <w:t xml:space="preserve"> </w:t>
      </w:r>
      <w:r>
        <w:t xml:space="preserve">são as regras de rejeição do contrato da planilha.</w:t>
      </w:r>
      <w:r>
        <w:t xml:space="preserve"> </w:t>
      </w:r>
      <w:r>
        <w:rPr>
          <w:bCs/>
          <w:b/>
        </w:rPr>
        <w:t xml:space="preserve">CT-01 a CT-33</w:t>
      </w:r>
      <w:r>
        <w:t xml:space="preserve"> </w:t>
      </w:r>
      <w:r>
        <w:t xml:space="preserve">são os casos de teste da matriz de evidências.</w:t>
      </w:r>
    </w:p>
    <w:p>
      <w:pPr>
        <w:pStyle w:val="BodyText"/>
        <w:jc w:val="both"/>
      </w:pPr>
      <w:r>
        <w:rPr>
          <w:bCs/>
          <w:b/>
        </w:rPr>
        <w:t xml:space="preserve">Mapa da entrega.</w:t>
      </w:r>
      <w:r>
        <w:t xml:space="preserve"> </w:t>
      </w:r>
      <w:r>
        <w:t xml:space="preserve">A tabela liga cada exigência do roteiro à seção que a trata e às evidências que a comprovam.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5325"/>
        <w:gridCol w:w="2017"/>
        <w:gridCol w:w="2017"/>
      </w:tblGrid>
      <w:tr>
        <w:trPr>
          <w:tblHeader w:val="true"/>
        </w:trPr>
        <w:tc>
          <w:tcPr>
            <w:tcW w:w="532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Exigência do roteiro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Seção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Evidências</w:t>
            </w:r>
          </w:p>
        </w:tc>
      </w:tr>
      <w:tr>
        <w:tc>
          <w:tcPr>
            <w:tcW w:w="5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Item 1.1 — ingestão do Excel com leituras e valores do padrão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3 e 6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CT-08 a CT-27</w:t>
            </w:r>
          </w:p>
        </w:tc>
      </w:tr>
      <w:tr>
        <w:tc>
          <w:tcPr>
            <w:tcW w:w="532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1.2 — média, erro sistemático, |erro| × LEA,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DENTRO_DA_TOLERANCIA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FORA_DA_TOLERANCIA</w:t>
            </w:r>
            <w:r>
              <w:rPr>
                <w:sz w:val="16"/>
                <w:szCs w:val="16"/>
              </w:rPr>
              <w:t xml:space="preserve">, parecer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APROVADO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REPROVADO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CT-01 a CT-07</w:t>
            </w:r>
          </w:p>
        </w:tc>
      </w:tr>
      <w:tr>
        <w:tc>
          <w:tcPr>
            <w:tcW w:w="5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Objetivo da entrega — resultados e parecer numa interface limpa e intuitiva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CT-30 a CT-33</w:t>
            </w:r>
          </w:p>
        </w:tc>
      </w:tr>
      <w:tr>
        <w:tc>
          <w:tcPr>
            <w:tcW w:w="5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Item 3 — evidências no relatório e repositório público com todo o código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7 e 11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CT-01 a CT-33</w:t>
            </w:r>
          </w:p>
        </w:tc>
      </w:tr>
      <w:tr>
        <w:tc>
          <w:tcPr>
            <w:tcW w:w="5325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Critério de avaliação — coerência da arquitetura transacional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01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Seção 2.3</w:t>
            </w:r>
          </w:p>
        </w:tc>
      </w:tr>
    </w:tbl>
    <w:p>
      <w:pPr>
        <w:pStyle w:val="BodyText"/>
        <w:jc w:val="both"/>
      </w:pPr>
      <w:r>
        <w:t xml:space="preserve">O roteiro passa do Item 1 para o Item 3. A ausência do Item 2 foi tratada como erro de numeração: a pergunta enviada ao docente em 10/10/2026 não teve resposta até a data deste relatório [PREMISSA]. A interface, pedida no objetivo da entrega, recebeu seção própria.</w:t>
      </w:r>
    </w:p>
    <w:p>
      <w:pPr>
        <w:pStyle w:val="BodyText"/>
        <w:jc w:val="both"/>
      </w:pPr>
      <w:r>
        <w:rPr>
          <w:bCs/>
          <w:b/>
        </w:rPr>
        <w:t xml:space="preserve">Aplicação transacional, nesta entrega.</w:t>
      </w:r>
      <w:r>
        <w:t xml:space="preserve"> </w:t>
      </w:r>
      <w:r>
        <w:t xml:space="preserve">Cada requisição processa um arquivo de ponta a ponta: recebe, valida, calcula e responde. Não há estado intermediário. Uma planilha inválida não produz resultado parcial: a resposta traz todos os erros encontrados e nenhum cálculo. A gravação do resultado foi adiada para a AV4 (D-014), pelos motivos da Seção 2.3.</w:t>
      </w:r>
    </w:p>
    <w:bookmarkEnd w:id="22"/>
    <w:bookmarkStart w:id="23" w:name="X24b91d044cff4cacb74eb303c3e7a7f16008018"/>
    <w:p>
      <w:pPr>
        <w:pStyle w:val="Heading1"/>
      </w:pPr>
      <w:r>
        <w:t xml:space="preserve">1. Introdução e vínculo com as entregas anteriores</w:t>
      </w:r>
    </w:p>
    <w:p>
      <w:pPr>
        <w:pStyle w:val="FirstParagraph"/>
        <w:jc w:val="both"/>
      </w:pPr>
      <w:r>
        <w:t xml:space="preserve">A AV1 mostrou que a Schulz Metrologia leva 13 dias entre medir um dispositivo de controle na MMC e emitir o certificado (D-01), com 28 valores transportados à mão por certificado (D-02). Entre as dores críticas estavam a regra de aceitação com erro de sinal para tolerância negativa, que reprova falsamente todos os diâmetros (D-04, AN-17), o certificado sem declaração de conformidade (D-06, AN-34) e um cálculo em planilha não validado (RA-05).</w:t>
      </w:r>
    </w:p>
    <w:p>
      <w:pPr>
        <w:pStyle w:val="BodyText"/>
        <w:jc w:val="both"/>
      </w:pPr>
      <w:r>
        <w:t xml:space="preserve">A AV2 desenhou a arquitetura em nuvem: o operador envia a planilha sanitizada ao storage, o evento aciona a função</w:t>
      </w:r>
      <w:r>
        <w:t xml:space="preserve"> </w:t>
      </w:r>
      <w:r>
        <w:rPr>
          <w:rStyle w:val="VerbatimChar"/>
        </w:rPr>
        <w:t xml:space="preserve">fn-ingestao</w:t>
      </w:r>
      <w:r>
        <w:t xml:space="preserve">, que lê o arquivo, grava os dados e dispara a geração do certificado (DE-02). A AV2 deixou em aberto o layout exato da planilha, a fixar nesta entrega (PV-19).</w:t>
      </w:r>
    </w:p>
    <w:p>
      <w:pPr>
        <w:pStyle w:val="BodyText"/>
        <w:jc w:val="both"/>
      </w:pPr>
      <w:r>
        <w:t xml:space="preserve">Esta entrega constrói a primeira parte do MVP: a aplicação que recebe a planilha, valida a entrada, aplica as regras do roteiro e apresenta o resultado. Ela fecha a PV-19 com um contrato de planilha (Seção 3) e implementa um núcleo de cálculo que é o mesmo código que a</w:t>
      </w:r>
      <w:r>
        <w:t xml:space="preserve"> </w:t>
      </w:r>
      <w:r>
        <w:rPr>
          <w:rStyle w:val="VerbatimChar"/>
        </w:rPr>
        <w:t xml:space="preserve">fn-ingestao</w:t>
      </w:r>
      <w:r>
        <w:t xml:space="preserve"> </w:t>
      </w:r>
      <w:r>
        <w:t xml:space="preserve">executará (Seção 2.3).</w:t>
      </w:r>
    </w:p>
    <w:p>
      <w:pPr>
        <w:pStyle w:val="BodyText"/>
        <w:jc w:val="both"/>
      </w:pPr>
      <w:r>
        <w:t xml:space="preserve">O roteiro simplifica o cálculo especificado na AV1: pede média, erro sistemático e comparação com o LEA, sem desvio padrão, incerteza, fator k nem graus de liberdade efetivos (RF-07, R-46 a R-50). O MVP implementa exatamente o que o roteiro pede; o restante está na Seção 9, com os códigos da AV1.</w:t>
      </w:r>
    </w:p>
    <w:bookmarkEnd w:id="23"/>
    <w:bookmarkStart w:id="31" w:name="arquitetura-do-mvp"/>
    <w:p>
      <w:pPr>
        <w:pStyle w:val="Heading1"/>
      </w:pPr>
      <w:r>
        <w:t xml:space="preserve">2. Arquitetura do MVP</w:t>
      </w:r>
    </w:p>
    <w:bookmarkStart w:id="27" w:name="visão-geral"/>
    <w:p>
      <w:pPr>
        <w:pStyle w:val="Heading2"/>
      </w:pPr>
      <w:r>
        <w:t xml:space="preserve">2.1 Visão geral</w:t>
      </w:r>
    </w:p>
    <w:p>
      <w:pPr>
        <w:pStyle w:val="FirstParagraph"/>
        <w:jc w:val="both"/>
        <w:sectPr>
          <w:type w:val="nextPage"/>
          <w:pgSz w:w="12240" w:h="15840"/>
          <w:pgMar w:left="1440" w:right="1440" w:gutter="0" w:header="0" w:top="1440" w:footer="0" w:bottom="1440"/>
          <w:pgNumType w:fmt="decimal"/>
        </w:sectPr>
      </w:pPr>
      <w:r>
        <w:t xml:space="preserve">A aplicação segue uma arquitetura de núcleo independente com adaptadores (hexagonal, em versão leve). O núcleo — leitura da planilha e cálculo — é Java puro e não importa nada do Spring (D-012). O Spring Boot fica nas pontas: recebe o arquivo por HTTP e devolve o resultado.</w:t>
      </w:r>
    </w:p>
    <w:p>
      <w:pPr>
        <w:pStyle w:val="CaptionedFigure"/>
      </w:pPr>
      <w:r>
        <w:drawing>
          <wp:inline>
            <wp:extent cx="8412480" cy="5531538"/>
            <wp:effectExtent b="0" l="0" r="0" t="0"/>
            <wp:docPr descr="Figura 1 — Arquitetura do MVP. O núcleo (em verde) não depende do Spring; o mesmo núcleo será acionado pela fn-ingestao da arquitetura em nuvem da AV2 (tracejado)." title="" id="25" name="Picture"/>
            <a:graphic>
              <a:graphicData uri="http://schemas.openxmlformats.org/drawingml/2006/picture">
                <pic:pic>
                  <pic:nvPicPr>
                    <pic:cNvPr descr="../../diagramas/arquitetura-av0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480" cy="553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ectPr>
          <w:type w:val="nextPage"/>
          <w:pgSz w:orient="landscape" w:w="15840" w:h="12240"/>
          <w:pgMar w:left="1000" w:right="1000" w:gutter="0" w:header="0" w:top="720" w:footer="0" w:bottom="720"/>
          <w:pgNumType w:fmt="decimal"/>
        </w:sectPr>
      </w:pPr>
      <w:r>
        <w:t xml:space="preserve">Figura 1 — Arquitetura do MVP. O núcleo (em verde) não depende do Spring; o mesmo núcleo será acionado pela fn-ingestao da arquitetura em nuvem da AV2 (tracejado).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1455"/>
        <w:gridCol w:w="2163"/>
        <w:gridCol w:w="4286"/>
        <w:gridCol w:w="1455"/>
      </w:tblGrid>
      <w:tr>
        <w:trPr>
          <w:tblHeader w:val="true"/>
        </w:trPr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Pacote</w:t>
            </w:r>
          </w:p>
        </w:tc>
        <w:tc>
          <w:tcPr>
            <w:tcW w:w="216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Responsabilidade</w:t>
            </w:r>
          </w:p>
        </w:tc>
        <w:tc>
          <w:tcPr>
            <w:tcW w:w="428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Classes principais</w:t>
            </w:r>
          </w:p>
        </w:tc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Usa Spring?</w:t>
            </w:r>
          </w:p>
        </w:tc>
      </w:tr>
      <w:tr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dominio</w:t>
            </w:r>
          </w:p>
        </w:tc>
        <w:tc>
          <w:tcPr>
            <w:tcW w:w="216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Regras metrológicas: média, erro, status e parecer</w:t>
            </w:r>
          </w:p>
        </w:tc>
        <w:tc>
          <w:tcPr>
            <w:tcW w:w="428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CalculadoraMetrologica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PontoEnsaio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ResultadoPonto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ResultadoCalibracao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StatusPonto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Parecer</w:t>
            </w:r>
          </w:p>
        </w:tc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Não</w:t>
            </w:r>
          </w:p>
        </w:tc>
      </w:tr>
      <w:tr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ingestao</w:t>
            </w:r>
          </w:p>
        </w:tc>
        <w:tc>
          <w:tcPr>
            <w:tcW w:w="216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Leitura e validação da planilha (R01 a R15)</w:t>
            </w:r>
          </w:p>
        </w:tc>
        <w:tc>
          <w:tcPr>
            <w:tcW w:w="428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Porta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LeitorPlanilha</w:t>
            </w:r>
            <w:r>
              <w:rPr>
                <w:sz w:val="16"/>
                <w:szCs w:val="16"/>
              </w:rPr>
              <w:t xml:space="preserve">, adaptador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LeitorPlanilhaPoi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ErroValidacao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PlanilhaInvalidaException</w:t>
            </w:r>
          </w:p>
        </w:tc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Não</w:t>
            </w:r>
          </w:p>
        </w:tc>
      </w:tr>
      <w:tr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aplicacao</w:t>
            </w:r>
          </w:p>
        </w:tc>
        <w:tc>
          <w:tcPr>
            <w:tcW w:w="216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Caso de uso: ler e calcular; hash e tamanho no log</w:t>
            </w:r>
          </w:p>
        </w:tc>
        <w:tc>
          <w:tcPr>
            <w:tcW w:w="428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ProcessamentoService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NucleoConfig</w:t>
            </w:r>
          </w:p>
        </w:tc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web</w:t>
            </w:r>
          </w:p>
        </w:tc>
        <w:tc>
          <w:tcPr>
            <w:tcW w:w="216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Adaptador HTTP: endpoint, DTOs e tratamento de erros</w:t>
            </w:r>
          </w:p>
        </w:tc>
        <w:tc>
          <w:tcPr>
            <w:tcW w:w="428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ProcessamentoController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ResultadoCalibracaoDto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PontoDto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TratamentoErros</w:t>
            </w:r>
          </w:p>
        </w:tc>
        <w:tc>
          <w:tcPr>
            <w:tcW w:w="14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Sim</w:t>
            </w:r>
          </w:p>
        </w:tc>
      </w:tr>
    </w:tbl>
    <w:p>
      <w:pPr>
        <w:pStyle w:val="BodyText"/>
        <w:jc w:val="both"/>
      </w:pPr>
      <w:r>
        <w:t xml:space="preserve">As dependências apontam para dentro: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conhece</w:t>
      </w:r>
      <w:r>
        <w:t xml:space="preserve"> </w:t>
      </w:r>
      <w:r>
        <w:rPr>
          <w:rStyle w:val="VerbatimChar"/>
        </w:rPr>
        <w:t xml:space="preserve">aplicacao</w:t>
      </w:r>
      <w:r>
        <w:t xml:space="preserve">, que conhece a porta</w:t>
      </w:r>
      <w:r>
        <w:t xml:space="preserve"> </w:t>
      </w:r>
      <w:r>
        <w:rPr>
          <w:rStyle w:val="VerbatimChar"/>
        </w:rPr>
        <w:t xml:space="preserve">LeitorPlanilha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dominio</w:t>
      </w:r>
      <w:r>
        <w:t xml:space="preserve">; o núcleo não conhece ninguém de fora. O Apache POI aparece só no adaptador</w:t>
      </w:r>
      <w:r>
        <w:t xml:space="preserve"> </w:t>
      </w:r>
      <w:r>
        <w:rPr>
          <w:rStyle w:val="VerbatimChar"/>
        </w:rPr>
        <w:t xml:space="preserve">LeitorPlanilhaPoi</w:t>
      </w:r>
      <w:r>
        <w:t xml:space="preserve">: a porta recebe um</w:t>
      </w:r>
      <w:r>
        <w:t xml:space="preserve"> </w:t>
      </w:r>
      <w:r>
        <w:rPr>
          <w:rStyle w:val="VerbatimChar"/>
        </w:rPr>
        <w:t xml:space="preserve">InputStream</w:t>
      </w:r>
      <w:r>
        <w:t xml:space="preserve"> </w:t>
      </w:r>
      <w:r>
        <w:t xml:space="preserve">e devolve</w:t>
      </w:r>
      <w:r>
        <w:t xml:space="preserve"> </w:t>
      </w:r>
      <w:r>
        <w:rPr>
          <w:rStyle w:val="VerbatimChar"/>
        </w:rPr>
        <w:t xml:space="preserve">List&lt;PontoEnsaio&gt;</w:t>
      </w:r>
      <w:r>
        <w:t xml:space="preserve">, sem expor tipos do POI. Trocar a biblioteca, ou aceitar outro formato no futuro, não toca no cálculo. As classes do núcleo não levam anotações: a</w:t>
      </w:r>
      <w:r>
        <w:t xml:space="preserve"> </w:t>
      </w:r>
      <w:r>
        <w:rPr>
          <w:rStyle w:val="VerbatimChar"/>
        </w:rPr>
        <w:t xml:space="preserve">NucleoConfig</w:t>
      </w:r>
      <w:r>
        <w:t xml:space="preserve"> </w:t>
      </w:r>
      <w:r>
        <w:t xml:space="preserve">cria os beans no pacote</w:t>
      </w:r>
      <w:r>
        <w:t xml:space="preserve"> </w:t>
      </w:r>
      <w:r>
        <w:rPr>
          <w:rStyle w:val="VerbatimChar"/>
        </w:rPr>
        <w:t xml:space="preserve">aplicacao</w:t>
      </w:r>
      <w:r>
        <w:t xml:space="preserve">.</w:t>
      </w:r>
    </w:p>
    <w:bookmarkEnd w:id="27"/>
    <w:bookmarkStart w:id="28" w:name="fluxo-de-uma-requisição"/>
    <w:p>
      <w:pPr>
        <w:pStyle w:val="Heading2"/>
      </w:pPr>
      <w:r>
        <w:t xml:space="preserve">2.2 Fluxo de uma requisição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O navegador envia a planilha em</w:t>
      </w:r>
      <w:r>
        <w:t xml:space="preserve"> </w:t>
      </w:r>
      <w:r>
        <w:rPr>
          <w:rStyle w:val="VerbatimChar"/>
        </w:rPr>
        <w:t xml:space="preserve">POST /api/calibracoes/processamento</w:t>
      </w:r>
      <w:r>
        <w:t xml:space="preserve">, como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, no campo</w:t>
      </w:r>
      <w:r>
        <w:t xml:space="preserve"> </w:t>
      </w:r>
      <w:r>
        <w:rPr>
          <w:rStyle w:val="VerbatimChar"/>
        </w:rPr>
        <w:t xml:space="preserve">arquivo</w:t>
      </w:r>
      <w:r>
        <w:t xml:space="preserve">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O Spring recusa arquivos acima de 5 MB com 413, antes de qualquer leitura (Seção 6.1).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O</w:t>
      </w:r>
      <w:r>
        <w:t xml:space="preserve"> </w:t>
      </w:r>
      <w:r>
        <w:rPr>
          <w:rStyle w:val="VerbatimChar"/>
        </w:rPr>
        <w:t xml:space="preserve">ProcessamentoController</w:t>
      </w:r>
      <w:r>
        <w:t xml:space="preserve"> </w:t>
      </w:r>
      <w:r>
        <w:t xml:space="preserve">entrega o conteúdo como</w:t>
      </w:r>
      <w:r>
        <w:t xml:space="preserve"> </w:t>
      </w:r>
      <w:r>
        <w:rPr>
          <w:rStyle w:val="VerbatimChar"/>
        </w:rPr>
        <w:t xml:space="preserve">InputStream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ProcessamentoService</w:t>
      </w:r>
      <w:r>
        <w:t xml:space="preserve">, que não conhece HTTP.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O serviço envolve a entrada num medidor que calcula o SHA-256 e conta os bytes enquanto o leitor consome o arquivo, sem guardar uma segunda cópia.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O</w:t>
      </w:r>
      <w:r>
        <w:t xml:space="preserve"> </w:t>
      </w:r>
      <w:r>
        <w:rPr>
          <w:rStyle w:val="VerbatimChar"/>
        </w:rPr>
        <w:t xml:space="preserve">LeitorPlanilhaPoi</w:t>
      </w:r>
      <w:r>
        <w:t xml:space="preserve"> </w:t>
      </w:r>
      <w:r>
        <w:t xml:space="preserve">aplica as regras R01 a R15 e devolve os pontos de ensaio ou lança</w:t>
      </w:r>
      <w:r>
        <w:t xml:space="preserve"> </w:t>
      </w:r>
      <w:r>
        <w:rPr>
          <w:rStyle w:val="VerbatimChar"/>
        </w:rPr>
        <w:t xml:space="preserve">PlanilhaInvalidaException</w:t>
      </w:r>
      <w:r>
        <w:t xml:space="preserve"> </w:t>
      </w:r>
      <w:r>
        <w:t xml:space="preserve">com a lista completa de erros.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A</w:t>
      </w:r>
      <w:r>
        <w:t xml:space="preserve"> </w:t>
      </w:r>
      <w:r>
        <w:rPr>
          <w:rStyle w:val="VerbatimChar"/>
        </w:rPr>
        <w:t xml:space="preserve">CalculadoraMetrologica</w:t>
      </w:r>
      <w:r>
        <w:t xml:space="preserve"> </w:t>
      </w:r>
      <w:r>
        <w:t xml:space="preserve">calcula a média de cada ponto e monta o</w:t>
      </w:r>
      <w:r>
        <w:t xml:space="preserve"> </w:t>
      </w:r>
      <w:r>
        <w:rPr>
          <w:rStyle w:val="VerbatimChar"/>
        </w:rPr>
        <w:t xml:space="preserve">ResultadoCalibracao</w:t>
      </w:r>
      <w:r>
        <w:t xml:space="preserve">; erro, status e parecer são derivados (Seção 4.4).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O controller converte o resultado em DTO, com média e erro em 5 casas, e responde 200 em JSON — inclusive para</w:t>
      </w:r>
      <w:r>
        <w:t xml:space="preserve"> </w:t>
      </w:r>
      <w:r>
        <w:rPr>
          <w:rStyle w:val="VerbatimChar"/>
        </w:rPr>
        <w:t xml:space="preserve">REPROVADO</w:t>
      </w:r>
      <w:r>
        <w:t xml:space="preserve">, que é resultado, não erro.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Qualquer exceção passa pelo</w:t>
      </w:r>
      <w:r>
        <w:t xml:space="preserve"> </w:t>
      </w:r>
      <w:r>
        <w:rPr>
          <w:rStyle w:val="VerbatimChar"/>
        </w:rPr>
        <w:t xml:space="preserve">TratamentoErros</w:t>
      </w:r>
      <w:r>
        <w:t xml:space="preserve"> </w:t>
      </w:r>
      <w:r>
        <w:t xml:space="preserve">e sai como</w:t>
      </w:r>
      <w:r>
        <w:t xml:space="preserve"> </w:t>
      </w:r>
      <w:r>
        <w:rPr>
          <w:rStyle w:val="VerbatimChar"/>
        </w:rPr>
        <w:t xml:space="preserve">application/problem+json</w:t>
      </w:r>
      <w:r>
        <w:t xml:space="preserve"> </w:t>
      </w:r>
      <w:r>
        <w:t xml:space="preserve">(RFC 9457).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Ao final, com sucesso ou erro, o serviço registra no log o SHA-256 e o tamanho do arquivo, nunca o conteúdo nem o nome.</w:t>
      </w:r>
    </w:p>
    <w:bookmarkEnd w:id="28"/>
    <w:bookmarkStart w:id="29" w:name="Xb171386424d3dceff088ac00066f91ba6bfc108"/>
    <w:p>
      <w:pPr>
        <w:pStyle w:val="Heading2"/>
      </w:pPr>
      <w:r>
        <w:t xml:space="preserve">2.3 Coerência com a arquitetura em nuvem da AV2</w:t>
      </w:r>
    </w:p>
    <w:p>
      <w:pPr>
        <w:pStyle w:val="FirstParagraph"/>
        <w:jc w:val="both"/>
      </w:pPr>
      <w:r>
        <w:t xml:space="preserve">O roteiro pede uma aplicação web; a AV2 desenhou um pipeline serverless. As duas coisas são compatíveis porque o meio do processo é o mesmo nos dois cenários e só as pontas mudam (D-012).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1669"/>
        <w:gridCol w:w="3483"/>
        <w:gridCol w:w="4207"/>
      </w:tblGrid>
      <w:tr>
        <w:trPr>
          <w:tblHeader w:val="true"/>
        </w:trPr>
        <w:tc>
          <w:tcPr>
            <w:tcW w:w="166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Elemento</w:t>
            </w:r>
          </w:p>
        </w:tc>
        <w:tc>
          <w:tcPr>
            <w:tcW w:w="34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MVP da AV3</w:t>
            </w:r>
          </w:p>
        </w:tc>
        <w:tc>
          <w:tcPr>
            <w:tcW w:w="420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fn-ingestao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(arquitetura da AV2)</w:t>
            </w:r>
          </w:p>
        </w:tc>
      </w:tr>
      <w:tr>
        <w:tc>
          <w:tcPr>
            <w:tcW w:w="166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Entrada</w:t>
            </w:r>
          </w:p>
        </w:tc>
        <w:tc>
          <w:tcPr>
            <w:tcW w:w="34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Upload HTTP multipart</w:t>
            </w:r>
          </w:p>
        </w:tc>
        <w:tc>
          <w:tcPr>
            <w:tcW w:w="4207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Evento de criação do objeto no S3</w:t>
            </w:r>
          </w:p>
        </w:tc>
      </w:tr>
      <w:tr>
        <w:tc>
          <w:tcPr>
            <w:tcW w:w="166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Adaptador de entrada</w:t>
            </w:r>
          </w:p>
        </w:tc>
        <w:tc>
          <w:tcPr>
            <w:tcW w:w="348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ProcessamentoController</w:t>
            </w:r>
          </w:p>
        </w:tc>
        <w:tc>
          <w:tcPr>
            <w:tcW w:w="420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Handler da Lambda, que abre o objeto como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InputStream</w:t>
            </w:r>
          </w:p>
        </w:tc>
      </w:tr>
      <w:tr>
        <w:tc>
          <w:tcPr>
            <w:tcW w:w="166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Caso de uso</w:t>
            </w:r>
          </w:p>
        </w:tc>
        <w:tc>
          <w:tcPr>
            <w:tcW w:w="348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ProcessamentoService</w:t>
            </w:r>
          </w:p>
        </w:tc>
        <w:tc>
          <w:tcPr>
            <w:tcW w:w="4207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O mesmo</w:t>
            </w:r>
          </w:p>
        </w:tc>
      </w:tr>
      <w:tr>
        <w:tc>
          <w:tcPr>
            <w:tcW w:w="166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Leitura e validação</w:t>
            </w:r>
          </w:p>
        </w:tc>
        <w:tc>
          <w:tcPr>
            <w:tcW w:w="348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LeitorPlanilhaPoi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(R01 a R15)</w:t>
            </w:r>
          </w:p>
        </w:tc>
        <w:tc>
          <w:tcPr>
            <w:tcW w:w="4207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O mesmo</w:t>
            </w:r>
          </w:p>
        </w:tc>
      </w:tr>
      <w:tr>
        <w:tc>
          <w:tcPr>
            <w:tcW w:w="166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Cálculo</w:t>
            </w:r>
          </w:p>
        </w:tc>
        <w:tc>
          <w:tcPr>
            <w:tcW w:w="348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CalculadoraMetrologica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e records do domínio</w:t>
            </w:r>
          </w:p>
        </w:tc>
        <w:tc>
          <w:tcPr>
            <w:tcW w:w="4207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O mesmo</w:t>
            </w:r>
          </w:p>
        </w:tc>
      </w:tr>
      <w:tr>
        <w:tc>
          <w:tcPr>
            <w:tcW w:w="166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Limite de tamanho</w:t>
            </w:r>
          </w:p>
        </w:tc>
        <w:tc>
          <w:tcPr>
            <w:tcW w:w="34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Multipart (413) e R01 no leitor</w:t>
            </w:r>
          </w:p>
        </w:tc>
        <w:tc>
          <w:tcPr>
            <w:tcW w:w="4207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R01 no leitor</w:t>
            </w:r>
          </w:p>
        </w:tc>
      </w:tr>
      <w:tr>
        <w:tc>
          <w:tcPr>
            <w:tcW w:w="166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Saída</w:t>
            </w:r>
          </w:p>
        </w:tc>
        <w:tc>
          <w:tcPr>
            <w:tcW w:w="34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DTO em JSON para o navegador</w:t>
            </w:r>
          </w:p>
        </w:tc>
        <w:tc>
          <w:tcPr>
            <w:tcW w:w="420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Gravação no DynamoDB e acionamento da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fn-certificado</w:t>
            </w:r>
          </w:p>
        </w:tc>
      </w:tr>
    </w:tbl>
    <w:p>
      <w:pPr>
        <w:pStyle w:val="BodyText"/>
        <w:jc w:val="both"/>
      </w:pPr>
      <w:r>
        <w:t xml:space="preserve">Duas escolhas existem por causa da nuvem. A R01 (5 MB) é verificada também no leitor, e não só no multipart, porque na Lambda não há multipart: o leitor é a segunda barreira. O hash é calculado no serviço, e não no controller, para que a função na nuvem tenha a mesma rastreabilidade sem código novo.</w:t>
      </w:r>
    </w:p>
    <w:p>
      <w:pPr>
        <w:pStyle w:val="BodyText"/>
        <w:jc w:val="both"/>
      </w:pPr>
      <w:r>
        <w:t xml:space="preserve">A persistência foi adiada para a AV4 (D-014). O roteiro da AV3 não pede gravação do resultado, e persistir agora exigiria um banco local que não é o da arquitetura. A D-007 escolheu o DynamoDB, em que a unicidade é garantida pela aplicação, com itens-sentinela, e não por uma restrição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 A idempotência por hash da AV1 (RN-20: nenhum arquivo é importado duas vezes) seria implementada duas vezes, com mecanismos diferentes. Na AV4, com o back-end pronto, a persistência entra direto no desenho da D-007. O hash já calculado na AV3 é a chave dessa idempotência.</w:t>
      </w:r>
    </w:p>
    <w:bookmarkEnd w:id="29"/>
    <w:bookmarkStart w:id="30" w:name="stack-e-dependências"/>
    <w:p>
      <w:pPr>
        <w:pStyle w:val="Heading2"/>
      </w:pPr>
      <w:r>
        <w:t xml:space="preserve">2.4 Stack e dependências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1899"/>
        <w:gridCol w:w="1336"/>
        <w:gridCol w:w="6124"/>
      </w:tblGrid>
      <w:tr>
        <w:trPr>
          <w:tblHeader w:val="true"/>
        </w:trPr>
        <w:tc>
          <w:tcPr>
            <w:tcW w:w="189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Componente</w:t>
            </w:r>
          </w:p>
        </w:tc>
        <w:tc>
          <w:tcPr>
            <w:tcW w:w="133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Versão</w:t>
            </w:r>
          </w:p>
        </w:tc>
        <w:tc>
          <w:tcPr>
            <w:tcW w:w="612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Observação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Java</w:t>
            </w:r>
          </w:p>
        </w:tc>
        <w:tc>
          <w:tcPr>
            <w:tcW w:w="133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612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java.version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17 no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pom.xml</w:t>
            </w:r>
            <w:r>
              <w:rPr>
                <w:sz w:val="16"/>
                <w:szCs w:val="16"/>
              </w:rPr>
              <w:t xml:space="preserve">; compilado com o JDK Temurin 21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Spring Boot</w:t>
            </w:r>
          </w:p>
        </w:tc>
        <w:tc>
          <w:tcPr>
            <w:tcW w:w="133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4.1.1</w:t>
            </w:r>
          </w:p>
        </w:tc>
        <w:tc>
          <w:tcPr>
            <w:tcW w:w="612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Starters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webmvc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validation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webmvc-test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(testes)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Apache POI (</w:t>
            </w:r>
            <w:r>
              <w:rPr>
                <w:rStyle w:val="VerbatimChar"/>
                <w:sz w:val="16"/>
                <w:szCs w:val="16"/>
              </w:rPr>
              <w:t xml:space="preserve">poi-ooxml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w="133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5.5.1</w:t>
            </w:r>
          </w:p>
        </w:tc>
        <w:tc>
          <w:tcPr>
            <w:tcW w:w="612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Única biblioteca externa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fora do ecossistema Spring, necessária para ler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.xlsx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Maven</w:t>
            </w:r>
          </w:p>
        </w:tc>
        <w:tc>
          <w:tcPr>
            <w:tcW w:w="133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Wrapper (</w:t>
            </w:r>
            <w:r>
              <w:rPr>
                <w:rStyle w:val="VerbatimChar"/>
                <w:sz w:val="16"/>
                <w:szCs w:val="16"/>
              </w:rPr>
              <w:t xml:space="preserve">mvnw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w="6124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Dispensa instalar o Maven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Interface</w:t>
            </w:r>
          </w:p>
        </w:tc>
        <w:tc>
          <w:tcPr>
            <w:tcW w:w="133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6124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HTML, CSS e JavaScript puro, sem bibliotecas</w:t>
            </w:r>
          </w:p>
        </w:tc>
      </w:tr>
    </w:tbl>
    <w:p>
      <w:pPr>
        <w:pStyle w:val="BodyText"/>
        <w:jc w:val="both"/>
      </w:pPr>
      <w:r>
        <w:t xml:space="preserve">A escolha de Java (D-011) se deve à familiaridade do autor com a stack e ao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 </w:t>
      </w:r>
      <w:r>
        <w:t xml:space="preserve">nativo, que dá controle total sobre precisão e arredondamento; em Node, decimais exatos exigiriam biblioteca adicional. O projeto começou especificado em Spring Boot 3 e foi montado em 4.1, porque a linha 3.x saiu do suporte gratuito em 30/06/2026 (emenda da D-011).</w:t>
      </w:r>
    </w:p>
    <w:p>
      <w:pPr>
        <w:pStyle w:val="BodyText"/>
        <w:jc w:val="both"/>
      </w:pPr>
      <w:r>
        <w:t xml:space="preserve">A API responde com DTOs, e não com os records do domínio. Serializar o domínio direto exporia por padrão qualquer campo novo — um nome de técnico acrescentado no futuro, por exemplo (LGPD) — e mudaria o contrato da API sem aviso, quebrando a tela em silêncio.</w:t>
      </w:r>
    </w:p>
    <w:bookmarkEnd w:id="30"/>
    <w:bookmarkEnd w:id="31"/>
    <w:bookmarkStart w:id="36" w:name="ingestão-da-planilha-item-1.1"/>
    <w:p>
      <w:pPr>
        <w:pStyle w:val="Heading1"/>
      </w:pPr>
      <w:r>
        <w:t xml:space="preserve">3. Ingestão da planilha (Item 1.1)</w:t>
      </w:r>
    </w:p>
    <w:bookmarkStart w:id="32" w:name="do-dado-real-ao-contrato"/>
    <w:p>
      <w:pPr>
        <w:pStyle w:val="Heading2"/>
      </w:pPr>
      <w:r>
        <w:t xml:space="preserve">3.1 Do dado real ao contrato</w:t>
      </w:r>
    </w:p>
    <w:p>
      <w:pPr>
        <w:pStyle w:val="FirstParagraph"/>
        <w:jc w:val="both"/>
      </w:pPr>
      <w:r>
        <w:t xml:space="preserve">O roteiro usa o vocabulário genérico de calibração de instrumento; a Schulz calibra dispositivos de controle medidos na MMC. O primeiro passo foi mapear cada termo do roteiro para o dado real, no arquivo</w:t>
      </w:r>
      <w:r>
        <w:t xml:space="preserve"> </w:t>
      </w:r>
      <w:r>
        <w:rPr>
          <w:rStyle w:val="VerbatimChar"/>
        </w:rPr>
        <w:t xml:space="preserve">Registro MMC (4).xlsx</w:t>
      </w:r>
      <w:r>
        <w:t xml:space="preserve">, aba Report: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2171"/>
        <w:gridCol w:w="4942"/>
        <w:gridCol w:w="2246"/>
      </w:tblGrid>
      <w:tr>
        <w:trPr>
          <w:tblHeader w:val="true"/>
        </w:trPr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Termo do roteiro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Na Schulz</w:t>
            </w:r>
          </w:p>
        </w:tc>
        <w:tc>
          <w:tcPr>
            <w:tcW w:w="224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Onde está</w:t>
            </w:r>
          </w:p>
        </w:tc>
      </w:tr>
      <w:tr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Ponto de ensaio</w:t>
            </w:r>
          </w:p>
        </w:tc>
        <w:tc>
          <w:tcPr>
            <w:tcW w:w="4942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Característica (Characteristic)</w:t>
            </w:r>
          </w:p>
        </w:tc>
        <w:tc>
          <w:tcPr>
            <w:tcW w:w="224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Coluna A</w:t>
            </w:r>
          </w:p>
        </w:tc>
      </w:tr>
      <w:tr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Leituras</w:t>
            </w:r>
          </w:p>
        </w:tc>
        <w:tc>
          <w:tcPr>
            <w:tcW w:w="4942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Valor medido (Actual), duas por ponto, em dois blocos de linhas</w:t>
            </w:r>
          </w:p>
        </w:tc>
        <w:tc>
          <w:tcPr>
            <w:tcW w:w="224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B14:B27 (1ª) e B29:B42 (2ª)</w:t>
            </w:r>
          </w:p>
        </w:tc>
      </w:tr>
      <w:tr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Valor padrão de referência</w:t>
            </w:r>
          </w:p>
        </w:tc>
        <w:tc>
          <w:tcPr>
            <w:tcW w:w="4942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Nominal</w:t>
            </w:r>
          </w:p>
        </w:tc>
        <w:tc>
          <w:tcPr>
            <w:tcW w:w="224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Coluna C</w:t>
            </w:r>
          </w:p>
        </w:tc>
      </w:tr>
      <w:tr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LEA</w:t>
            </w:r>
          </w:p>
        </w:tc>
        <w:tc>
          <w:tcPr>
            <w:tcW w:w="4942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Tolerância superior (Upper Tol)</w:t>
            </w:r>
          </w:p>
        </w:tc>
        <w:tc>
          <w:tcPr>
            <w:tcW w:w="224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Coluna D</w:t>
            </w:r>
          </w:p>
        </w:tc>
      </w:tr>
    </w:tbl>
    <w:p>
      <w:pPr>
        <w:pStyle w:val="BodyText"/>
        <w:jc w:val="both"/>
      </w:pPr>
      <w:r>
        <w:t xml:space="preserve">O contrato adota o formato largo: uma linha por ponto, com colunas</w:t>
      </w:r>
      <w:r>
        <w:t xml:space="preserve"> </w:t>
      </w:r>
      <w:r>
        <w:rPr>
          <w:rStyle w:val="VerbatimChar"/>
        </w:rPr>
        <w:t xml:space="preserve">Leitura1</w:t>
      </w:r>
      <w:r>
        <w:t xml:space="preserve">,</w:t>
      </w:r>
      <w:r>
        <w:t xml:space="preserve"> </w:t>
      </w:r>
      <w:r>
        <w:rPr>
          <w:rStyle w:val="VerbatimChar"/>
        </w:rPr>
        <w:t xml:space="preserve">Leitura2</w:t>
      </w:r>
      <w:r>
        <w:t xml:space="preserve"> </w:t>
      </w:r>
      <w:r>
        <w:t xml:space="preserve">e assim por diante. Isso elimina a separação posicional dos dois blocos de medição, que a AV1 apontou como anomalia (AN-04), e aceita qualquer número de leituras sem mudar o layout. As tolerâncias entram como superior e inferior, e o LEA é derivado: só assim o sistema consegue validar o tipo de tolerância (Seção 4.2).</w:t>
      </w:r>
    </w:p>
    <w:bookmarkEnd w:id="32"/>
    <w:bookmarkStart w:id="33" w:name="contrato-da-planilha"/>
    <w:p>
      <w:pPr>
        <w:pStyle w:val="Heading2"/>
      </w:pPr>
      <w:r>
        <w:t xml:space="preserve">3.2 Contrato da planilha</w:t>
      </w:r>
    </w:p>
    <w:p>
      <w:pPr>
        <w:pStyle w:val="FirstParagraph"/>
        <w:jc w:val="both"/>
      </w:pPr>
      <w:r>
        <w:t xml:space="preserve">O contrato completo está em</w:t>
      </w:r>
      <w:r>
        <w:t xml:space="preserve"> </w:t>
      </w:r>
      <w:r>
        <w:rPr>
          <w:rStyle w:val="VerbatimChar"/>
        </w:rPr>
        <w:t xml:space="preserve">docs/av03/contrato-planilha.md</w:t>
      </w:r>
      <w:r>
        <w:t xml:space="preserve">. Em resumo: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2925"/>
        <w:gridCol w:w="6434"/>
      </w:tblGrid>
      <w:tr>
        <w:trPr>
          <w:tblHeader w:val="true"/>
        </w:trP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</w:t>
            </w:r>
          </w:p>
        </w:tc>
        <w:tc>
          <w:tcPr>
            <w:tcW w:w="643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Definição</w:t>
            </w:r>
          </w:p>
        </w:tc>
      </w:tr>
      <w:t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Formato</w:t>
            </w:r>
          </w:p>
        </w:tc>
        <w:tc>
          <w:tcPr>
            <w:tcW w:w="643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.xlsx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Transitional (</w:t>
            </w:r>
            <w:r>
              <w:rPr>
                <w:sz w:val="16"/>
                <w:szCs w:val="16"/>
              </w:rPr>
              <w:t xml:space="preserve">“</w:t>
            </w:r>
            <w:r>
              <w:rPr>
                <w:sz w:val="16"/>
                <w:szCs w:val="16"/>
              </w:rPr>
              <w:t xml:space="preserve">Pasta de Trabalho do Excel</w:t>
            </w:r>
            <w:r>
              <w:rPr>
                <w:sz w:val="16"/>
                <w:szCs w:val="16"/>
              </w:rPr>
              <w:t xml:space="preserve">”</w:t>
            </w:r>
            <w:r>
              <w:rPr>
                <w:sz w:val="16"/>
                <w:szCs w:val="16"/>
              </w:rPr>
              <w:t xml:space="preserve">); Strict rejeitado (Seção 3.4)</w:t>
            </w:r>
          </w:p>
        </w:tc>
      </w:tr>
      <w:t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Aba</w:t>
            </w:r>
          </w:p>
        </w:tc>
        <w:tc>
          <w:tcPr>
            <w:tcW w:w="643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Medicoes</w:t>
            </w:r>
            <w:r>
              <w:rPr>
                <w:sz w:val="16"/>
                <w:szCs w:val="16"/>
              </w:rPr>
              <w:t xml:space="preserve">; outras abas são ignoradas</w:t>
            </w:r>
          </w:p>
        </w:tc>
      </w:tr>
      <w:t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Caracteristica</w:t>
            </w:r>
          </w:p>
        </w:tc>
        <w:tc>
          <w:tcPr>
            <w:tcW w:w="6434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Texto, obrigatório, único na planilha</w:t>
            </w:r>
          </w:p>
        </w:tc>
      </w:tr>
      <w:t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ValorReferencia</w:t>
            </w:r>
          </w:p>
        </w:tc>
        <w:tc>
          <w:tcPr>
            <w:tcW w:w="6434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Número, em mm, obrigatório</w:t>
            </w:r>
          </w:p>
        </w:tc>
      </w:tr>
      <w:t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Leitura1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Leitura2</w:t>
            </w:r>
            <w:r>
              <w:rPr>
                <w:sz w:val="16"/>
                <w:szCs w:val="16"/>
              </w:rPr>
              <w:t xml:space="preserve">…</w:t>
            </w:r>
          </w:p>
        </w:tc>
        <w:tc>
          <w:tcPr>
            <w:tcW w:w="6434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Número, em mm; pelo menos duas colunas, todas preenchidas em todas as linhas</w:t>
            </w:r>
          </w:p>
        </w:tc>
      </w:tr>
      <w:t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ToleranciaSuperior</w:t>
            </w:r>
          </w:p>
        </w:tc>
        <w:tc>
          <w:tcPr>
            <w:tcW w:w="6434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Número, em mm, maior que zero; é o LEA</w:t>
            </w:r>
          </w:p>
        </w:tc>
      </w:tr>
      <w:t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ToleranciaInferior</w:t>
            </w:r>
          </w:p>
        </w:tc>
        <w:tc>
          <w:tcPr>
            <w:tcW w:w="6434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Número, em mm: igual a −Tol+ (bilateral simétrica) ou zero (unilateral)</w:t>
            </w:r>
          </w:p>
        </w:tc>
      </w:tr>
      <w:t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Células numéricas</w:t>
            </w:r>
          </w:p>
        </w:tc>
        <w:tc>
          <w:tcPr>
            <w:tcW w:w="643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Do tipo Número. Texto que parece número (</w:t>
            </w:r>
            <w:r>
              <w:rPr>
                <w:rStyle w:val="VerbatimChar"/>
                <w:sz w:val="16"/>
                <w:szCs w:val="16"/>
              </w:rPr>
              <w:t xml:space="preserve">"10,03"</w:t>
            </w:r>
            <w:r>
              <w:rPr>
                <w:sz w:val="16"/>
                <w:szCs w:val="16"/>
              </w:rPr>
              <w:t xml:space="preserve">) é rejeitado sem conversão, porque o separador decimal seria ambíguo; fórmulas também, mesmo com valor em cache</w:t>
            </w:r>
          </w:p>
        </w:tc>
      </w:tr>
      <w:tr>
        <w:tc>
          <w:tcPr>
            <w:tcW w:w="292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Coluna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Desvio</w:t>
            </w:r>
          </w:p>
        </w:tc>
        <w:tc>
          <w:tcPr>
            <w:tcW w:w="6434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Rejeitada: valor calculado não entra (RN-28)</w:t>
            </w:r>
          </w:p>
        </w:tc>
      </w:tr>
    </w:tbl>
    <w:p>
      <w:pPr>
        <w:pStyle w:val="BodyText"/>
        <w:jc w:val="both"/>
      </w:pPr>
      <w:r>
        <w:t xml:space="preserve">As colunas são localizadas pelo nome do cabeçalho, não pela posição. Os números são convertidos com</w:t>
      </w:r>
      <w:r>
        <w:t xml:space="preserve"> </w:t>
      </w:r>
      <w:r>
        <w:rPr>
          <w:rStyle w:val="VerbatimChar"/>
        </w:rPr>
        <w:t xml:space="preserve">BigDecimal.valueOf(double)</w:t>
      </w:r>
      <w:r>
        <w:t xml:space="preserve">, nunca com</w:t>
      </w:r>
      <w:r>
        <w:t xml:space="preserve"> </w:t>
      </w:r>
      <w:r>
        <w:rPr>
          <w:rStyle w:val="VerbatimChar"/>
        </w:rPr>
        <w:t xml:space="preserve">new BigDecimal(double)</w:t>
      </w:r>
      <w:r>
        <w:t xml:space="preserve">: o Excel grava 4,14 como</w:t>
      </w:r>
      <w:r>
        <w:t xml:space="preserve"> </w:t>
      </w:r>
      <w:r>
        <w:rPr>
          <w:rStyle w:val="VerbatimChar"/>
        </w:rPr>
        <w:t xml:space="preserve">4.1399999999999997</w:t>
      </w:r>
      <w:r>
        <w:t xml:space="preserve">, e só a primeira forma devolve</w:t>
      </w:r>
      <w:r>
        <w:t xml:space="preserve"> </w:t>
      </w:r>
      <w:r>
        <w:rPr>
          <w:rStyle w:val="VerbatimChar"/>
        </w:rPr>
        <w:t xml:space="preserve">4.14</w:t>
      </w:r>
      <w:r>
        <w:t xml:space="preserve">.</w:t>
      </w:r>
    </w:p>
    <w:bookmarkEnd w:id="33"/>
    <w:bookmarkStart w:id="34" w:name="regras-de-rejeição"/>
    <w:p>
      <w:pPr>
        <w:pStyle w:val="Heading2"/>
      </w:pPr>
      <w:r>
        <w:t xml:space="preserve">3.3 Regras de rejeição</w:t>
      </w:r>
    </w:p>
    <w:p>
      <w:pPr>
        <w:pStyle w:val="FirstParagraph"/>
        <w:jc w:val="both"/>
      </w:pPr>
      <w:r>
        <w:t xml:space="preserve">As regras de arquivo e de estrutura interrompem a validação na hora, porque sem aba ou cabeçalho não há o que ler. As regras de linha são todas coletadas e devolvidas juntas, cada uma com linha, coluna, código da regra e mensagem — o operador corrige tudo de uma vez (CT-21).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1689"/>
        <w:gridCol w:w="5981"/>
        <w:gridCol w:w="1689"/>
      </w:tblGrid>
      <w:tr>
        <w:trPr>
          <w:tblHeader w:val="true"/>
        </w:trP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Regra</w:t>
            </w:r>
          </w:p>
        </w:tc>
        <w:tc>
          <w:tcPr>
            <w:tcW w:w="598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Verificação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Tipo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R01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Arquivo maior que 5 MB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Arquivo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R02</w:t>
            </w:r>
          </w:p>
        </w:tc>
        <w:tc>
          <w:tcPr>
            <w:tcW w:w="598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Conteúdo não 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.xlsx</w:t>
            </w:r>
            <w:r>
              <w:rPr>
                <w:sz w:val="16"/>
                <w:szCs w:val="16"/>
              </w:rPr>
              <w:t xml:space="preserve">, verificado pela assinatura do arquivo (</w:t>
            </w:r>
            <w:r>
              <w:rPr>
                <w:iCs/>
                <w:i/>
                <w:sz w:val="16"/>
                <w:szCs w:val="16"/>
              </w:rPr>
              <w:t xml:space="preserve">magic number</w:t>
            </w:r>
            <w:r>
              <w:rPr>
                <w:sz w:val="16"/>
                <w:szCs w:val="16"/>
              </w:rPr>
              <w:t xml:space="preserve">) e não pela extensão; inclui arquivo vazio, corrompido e zip com entrada acima do limite (D-013)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Arquivo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R03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Formato OOXML Strict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Arquivo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R04</w:t>
            </w:r>
          </w:p>
        </w:tc>
        <w:tc>
          <w:tcPr>
            <w:tcW w:w="598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Aba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Medicoes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ausente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Estrutura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R05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Cabeçalho obrigatório ausente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Estrutura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R06</w:t>
            </w:r>
          </w:p>
        </w:tc>
        <w:tc>
          <w:tcPr>
            <w:tcW w:w="598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Menos de duas colunas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Leitura*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Estrutura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R07</w:t>
            </w:r>
          </w:p>
        </w:tc>
        <w:tc>
          <w:tcPr>
            <w:tcW w:w="598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Coluna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Desvio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presente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Estrutura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R08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Nenhuma linha de dados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Estrutura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R09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Mais de 10 mil linhas de dados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Estrutura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R10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Valor obrigatório ausente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Linha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R11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Valor não numérico (texto, booleano, erro ou fórmula)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Linha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R12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Característica repetida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Linha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R13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Tolerância superior zero ou negativa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Linha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R14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Tolerância fora dos dois tipos aceitos (assimétrica)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Linha</w:t>
            </w:r>
          </w:p>
        </w:tc>
      </w:tr>
      <w:tr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R15</w:t>
            </w:r>
          </w:p>
        </w:tc>
        <w:tc>
          <w:tcPr>
            <w:tcW w:w="5981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Leitura negativa em característica unilateral</w:t>
            </w:r>
          </w:p>
        </w:tc>
        <w:tc>
          <w:tcPr>
            <w:tcW w:w="168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Linha</w:t>
            </w:r>
          </w:p>
        </w:tc>
      </w:tr>
    </w:tbl>
    <w:p>
      <w:pPr>
        <w:pStyle w:val="BodyText"/>
        <w:jc w:val="both"/>
      </w:pPr>
      <w:r>
        <w:t xml:space="preserve">As regras de R02 a R15, exceto a R09, têm uma planilha sintética própria (</w:t>
      </w:r>
      <w:r>
        <w:rPr>
          <w:rStyle w:val="VerbatimChar"/>
        </w:rPr>
        <w:t xml:space="preserve">inv-R02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inv-R15</w:t>
      </w:r>
      <w:r>
        <w:t xml:space="preserve">), e todas as regras têm testes com o código da regra no nome. A R01 e a R09 são verificadas com arquivos gerados dentro dos próprios testes, porque não faz sentido versionar arquivos de 5 MB ou de 10 mil linhas.</w:t>
      </w:r>
    </w:p>
    <w:bookmarkEnd w:id="34"/>
    <w:bookmarkStart w:id="35" w:name="decisão-sobre-o-formato-ooxml-strict"/>
    <w:p>
      <w:pPr>
        <w:pStyle w:val="Heading2"/>
      </w:pPr>
      <w:r>
        <w:t xml:space="preserve">3.4 Decisão sobre o formato OOXML Strict</w:t>
      </w:r>
    </w:p>
    <w:p>
      <w:pPr>
        <w:pStyle w:val="FirstParagraph"/>
        <w:jc w:val="both"/>
      </w:pPr>
      <w:r>
        <w:t xml:space="preserve">A AV1 pedia a leitura de arquivos OOXML Strict (RF-01, RNF-13), porque a planilha real da Schulz está nesse formato. O teste de risco feito antes de qualquer outra parte do leitor mostrou que o Apache POI 5.5.1 recusa esse formato: o</w:t>
      </w:r>
      <w:r>
        <w:t xml:space="preserve"> </w:t>
      </w:r>
      <w:r>
        <w:rPr>
          <w:rStyle w:val="VerbatimChar"/>
        </w:rPr>
        <w:t xml:space="preserve">XSSFWorkbook</w:t>
      </w:r>
      <w:r>
        <w:t xml:space="preserve"> </w:t>
      </w:r>
      <w:r>
        <w:t xml:space="preserve">lança</w:t>
      </w:r>
      <w:r>
        <w:t xml:space="preserve"> </w:t>
      </w:r>
      <w:r>
        <w:rPr>
          <w:rStyle w:val="VerbatimChar"/>
        </w:rPr>
        <w:t xml:space="preserve">POIXMLException: Strict OOXML isn't currently supported</w:t>
      </w:r>
      <w:r>
        <w:t xml:space="preserve">, tanto com o arquivo real (mantido fora do Git) quanto com a planilha sintética</w:t>
      </w:r>
      <w:r>
        <w:t xml:space="preserve"> </w:t>
      </w:r>
      <w:r>
        <w:rPr>
          <w:rStyle w:val="VerbatimChar"/>
        </w:rPr>
        <w:t xml:space="preserve">inv-R03-strict.xlsx</w:t>
      </w:r>
      <w:r>
        <w:t xml:space="preserve"> </w:t>
      </w:r>
      <w:r>
        <w:t xml:space="preserve">(</w:t>
      </w:r>
      <w:r>
        <w:rPr>
          <w:rStyle w:val="VerbatimChar"/>
        </w:rPr>
        <w:t xml:space="preserve">PoiStrictTest</w:t>
      </w:r>
      <w:r>
        <w:t xml:space="preserve">).</w:t>
      </w:r>
    </w:p>
    <w:p>
      <w:pPr>
        <w:pStyle w:val="BodyText"/>
        <w:jc w:val="both"/>
      </w:pPr>
      <w:r>
        <w:t xml:space="preserve">A decisão foi exigir o formato Transitional no contrato e detectar o Strict explicitamente (R03), com a mensagem</w:t>
      </w:r>
      <w:r>
        <w:t xml:space="preserve"> </w:t>
      </w:r>
      <w:r>
        <w:t xml:space="preserve">“</w:t>
      </w:r>
      <w:r>
        <w:t xml:space="preserve">O arquivo está em formato OOXML Strict. Salve como</w:t>
      </w:r>
      <w:r>
        <w:t xml:space="preserve"> </w:t>
      </w:r>
      <w:r>
        <w:t xml:space="preserve">‘</w:t>
      </w:r>
      <w:r>
        <w:t xml:space="preserve">Pasta de Trabalho do Excel (.xlsx)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t xml:space="preserve">em vez de um erro genérico. A detecção usa</w:t>
      </w:r>
      <w:r>
        <w:t xml:space="preserve"> </w:t>
      </w:r>
      <w:r>
        <w:rPr>
          <w:rStyle w:val="VerbatimChar"/>
        </w:rPr>
        <w:t xml:space="preserve">OPCPackage.isStrictOoxmlFormat()</w:t>
      </w:r>
      <w:r>
        <w:t xml:space="preserve"> </w:t>
      </w:r>
      <w:r>
        <w:t xml:space="preserve">e não o texto da exceção, que pode mudar entre versões. A decisão é sustentável porque a entrada do sistema é a planilha sanitizada pelo operador (DE-01), e salvar como Transitional é um passo dentro desse preparo. É uma divergência declarada em relação ao RNF-13, a confirmar com a Schulz [VALIDAR PV-26].</w:t>
      </w:r>
    </w:p>
    <w:bookmarkEnd w:id="35"/>
    <w:bookmarkEnd w:id="36"/>
    <w:bookmarkStart w:id="41" w:name="Xd3a344ef2baed3c7088f3fc440a202cd24972b5"/>
    <w:p>
      <w:pPr>
        <w:pStyle w:val="Heading1"/>
      </w:pPr>
      <w:r>
        <w:t xml:space="preserve">4. Regras de negócio e cálculos metrológicos (Item 1.2)</w:t>
      </w:r>
    </w:p>
    <w:bookmarkStart w:id="37" w:name="fórmulas"/>
    <w:p>
      <w:pPr>
        <w:pStyle w:val="Heading2"/>
      </w:pPr>
      <w:r>
        <w:t xml:space="preserve">4.1 Fórmulas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1783"/>
        <w:gridCol w:w="3067"/>
        <w:gridCol w:w="3300"/>
        <w:gridCol w:w="1209"/>
      </w:tblGrid>
      <w:tr>
        <w:trPr>
          <w:tblHeader w:val="true"/>
        </w:trPr>
        <w:tc>
          <w:tcPr>
            <w:tcW w:w="17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Grandeza</w:t>
            </w: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Fórmula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Implementação</w:t>
            </w:r>
          </w:p>
        </w:tc>
        <w:tc>
          <w:tcPr>
            <w:tcW w:w="120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Requisito da AV1</w:t>
            </w:r>
          </w:p>
        </w:tc>
      </w:tr>
      <w:tr>
        <w:tc>
          <w:tcPr>
            <w:tcW w:w="17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Média das leituras</w:t>
            </w: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x̄ = Σ leituras / n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CalculadoraMetrologica.media</w:t>
            </w:r>
          </w:p>
        </w:tc>
        <w:tc>
          <w:tcPr>
            <w:tcW w:w="120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RN-03, RF-06</w:t>
            </w:r>
          </w:p>
        </w:tc>
      </w:tr>
      <w:tr>
        <w:tc>
          <w:tcPr>
            <w:tcW w:w="17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Erro sistemático</w:t>
            </w: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 = x̄ − valor de referência (com sinal)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ResultadoPonto.erroSistematico</w:t>
            </w:r>
          </w:p>
        </w:tc>
        <w:tc>
          <w:tcPr>
            <w:tcW w:w="120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RF-06, RN-28</w:t>
            </w:r>
          </w:p>
        </w:tc>
      </w:tr>
      <w:tr>
        <w:tc>
          <w:tcPr>
            <w:tcW w:w="17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Limite de erro admissível</w:t>
            </w: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LEA = tolerância superior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PontoEnsaio.lea</w:t>
            </w:r>
          </w:p>
        </w:tc>
        <w:tc>
          <w:tcPr>
            <w:tcW w:w="120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RN-04, RN-05</w:t>
            </w:r>
          </w:p>
        </w:tc>
      </w:tr>
      <w:tr>
        <w:tc>
          <w:tcPr>
            <w:tcW w:w="17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Status do ponto</w:t>
            </w: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|E| ≤ LEA 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DENTRO_DA_TOLERANCIA</w:t>
            </w:r>
            <w:r>
              <w:rPr>
                <w:sz w:val="16"/>
                <w:szCs w:val="16"/>
              </w:rPr>
              <w:t xml:space="preserve">; senão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FORA_DA_TOLERANCIA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ResultadoPonto.status</w:t>
            </w:r>
          </w:p>
        </w:tc>
        <w:tc>
          <w:tcPr>
            <w:tcW w:w="120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RF-08</w:t>
            </w:r>
          </w:p>
        </w:tc>
      </w:tr>
      <w:tr>
        <w:tc>
          <w:tcPr>
            <w:tcW w:w="178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Parecer final</w:t>
            </w:r>
          </w:p>
        </w:tc>
        <w:tc>
          <w:tcPr>
            <w:tcW w:w="306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todos os pontos dentro 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APROVADO</w:t>
            </w:r>
            <w:r>
              <w:rPr>
                <w:sz w:val="16"/>
                <w:szCs w:val="16"/>
              </w:rPr>
              <w:t xml:space="preserve">; algum fora 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REPROVADO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ResultadoCalibracao.parecer</w:t>
            </w:r>
          </w:p>
        </w:tc>
        <w:tc>
          <w:tcPr>
            <w:tcW w:w="120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RF-08, RN-08</w:t>
            </w:r>
          </w:p>
        </w:tc>
      </w:tr>
    </w:tbl>
    <w:p>
      <w:pPr>
        <w:pStyle w:val="BodyText"/>
        <w:jc w:val="both"/>
      </w:pPr>
      <w:r>
        <w:t xml:space="preserve">Os quatro valores dos enums aparecem literalmente no código, na API e na tela, como pede o roteiro.</w:t>
      </w:r>
    </w:p>
    <w:bookmarkEnd w:id="37"/>
    <w:bookmarkStart w:id="38" w:name="fronteira-e-tipos-de-tolerância"/>
    <w:p>
      <w:pPr>
        <w:pStyle w:val="Heading2"/>
      </w:pPr>
      <w:r>
        <w:t xml:space="preserve">4.2 Fronteira e tipos de tolerância</w:t>
      </w:r>
    </w:p>
    <w:p>
      <w:pPr>
        <w:pStyle w:val="FirstParagraph"/>
        <w:jc w:val="both"/>
      </w:pPr>
      <w:r>
        <w:rPr>
          <w:bCs/>
          <w:b/>
        </w:rPr>
        <w:t xml:space="preserve">Fronteira (D-T04-1).</w:t>
      </w:r>
      <w:r>
        <w:t xml:space="preserve"> </w:t>
      </w:r>
      <w:r>
        <w:t xml:space="preserve">Um ponto com |E| exatamente igual ao LEA está</w:t>
      </w:r>
      <w:r>
        <w:t xml:space="preserve"> </w:t>
      </w:r>
      <w:r>
        <w:rPr>
          <w:rStyle w:val="VerbatimChar"/>
        </w:rPr>
        <w:t xml:space="preserve">DENTRO_DA_TOLERANCIA</w:t>
      </w:r>
      <w:r>
        <w:t xml:space="preserve">: o limite faz parte da margem. O caso é testado nos dois sinais (</w:t>
      </w:r>
      <w:r>
        <w:rPr>
          <w:rStyle w:val="VerbatimChar"/>
        </w:rPr>
        <w:t xml:space="preserve">ok-limite.xlsx</w:t>
      </w:r>
      <w:r>
        <w:t xml:space="preserve">, CT-03): E = +0,08 com LEA 0,08 e E = −0,05 com LEA 0,05.</w:t>
      </w:r>
    </w:p>
    <w:p>
      <w:pPr>
        <w:pStyle w:val="BodyText"/>
        <w:jc w:val="both"/>
      </w:pPr>
      <w:r>
        <w:rPr>
          <w:bCs/>
          <w:b/>
        </w:rPr>
        <w:t xml:space="preserve">Tipos de tolerância (D-T04-2).</w:t>
      </w:r>
      <w:r>
        <w:t xml:space="preserve"> </w:t>
      </w:r>
      <w:r>
        <w:t xml:space="preserve">O MVP aceita a tolerância bilateral simétrica (Tol− = −Tol+) e a unilateral (Tol− = 0), usada em características geométricas como planicidade, paralelismo e posição. Nas duas, LEA = Tol+ e vale a mesma regra |E| ≤ LEA, sem ramificação. A tolerância assimétrica (+0,05 / −0,02, por exemplo) não cabe num LEA único e é rejeitada na ingestão (R14) como fora do escopo do MVP.</w:t>
      </w:r>
    </w:p>
    <w:p>
      <w:pPr>
        <w:pStyle w:val="BodyText"/>
        <w:jc w:val="both"/>
      </w:pPr>
      <w:r>
        <w:rPr>
          <w:bCs/>
          <w:b/>
        </w:rPr>
        <w:t xml:space="preserve">Leitura negativa em característica unilateral (D-T04-3).</w:t>
      </w:r>
      <w:r>
        <w:t xml:space="preserve"> </w:t>
      </w:r>
      <w:r>
        <w:t xml:space="preserve">Uma medida geométrica não pode ser negativa. A planilha é rejeitada com linha e coluna (R15), em vez de virar um terceiro status, porque o roteiro só admite dois. Leitura igual a zero é aceita (CT-05).</w:t>
      </w:r>
    </w:p>
    <w:p>
      <w:pPr>
        <w:pStyle w:val="BodyText"/>
        <w:jc w:val="both"/>
      </w:pPr>
      <w:r>
        <w:rPr>
          <w:bCs/>
          <w:b/>
        </w:rPr>
        <w:t xml:space="preserve">O erro de sinal da AV1.</w:t>
      </w:r>
      <w:r>
        <w:t xml:space="preserve"> </w:t>
      </w:r>
      <w:r>
        <w:t xml:space="preserve">A planilha atual da Schulz calcula o limite inferior subtraindo uma tolerância já negativa, e reprova falsamente todos os diâmetros (AN-17, D-04). A formulação |E| ≤ LEA elimina esse defeito por construção: não há subtração de tolerância com sinal.</w:t>
      </w:r>
    </w:p>
    <w:bookmarkEnd w:id="38"/>
    <w:bookmarkStart w:id="39" w:name="precisão-numérica"/>
    <w:p>
      <w:pPr>
        <w:pStyle w:val="Heading2"/>
      </w:pPr>
      <w:r>
        <w:t xml:space="preserve">4.3 Precisão numérica</w:t>
      </w:r>
    </w:p>
    <w:p>
      <w:pPr>
        <w:pStyle w:val="FirstParagraph"/>
        <w:jc w:val="both"/>
      </w:pPr>
      <w:r>
        <w:t xml:space="preserve">Todo o cálculo usa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. Em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0,1 + 0,2</w:t>
      </w:r>
      <w:r>
        <w:t xml:space="preserve"> </w:t>
      </w:r>
      <w:r>
        <w:t xml:space="preserve">resulta em</w:t>
      </w:r>
      <w:r>
        <w:t xml:space="preserve"> </w:t>
      </w:r>
      <w:r>
        <w:rPr>
          <w:rStyle w:val="VerbatimChar"/>
        </w:rPr>
        <w:t xml:space="preserve">0,30000000000000004</w:t>
      </w:r>
      <w:r>
        <w:t xml:space="preserve">, e um resíduo dessa ordem decide uma comparação de fronteira: nos dois pontos de</w:t>
      </w:r>
      <w:r>
        <w:t xml:space="preserve"> </w:t>
      </w:r>
      <w:r>
        <w:rPr>
          <w:rStyle w:val="VerbatimChar"/>
        </w:rPr>
        <w:t xml:space="preserve">ok-limite.xlsx</w:t>
      </w:r>
      <w:r>
        <w:t xml:space="preserve">, o cálculo em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classifica como fora uma peça que está exatamente no limite. As comparações usam</w:t>
      </w:r>
      <w:r>
        <w:t xml:space="preserve"> </w:t>
      </w:r>
      <w:r>
        <w:rPr>
          <w:rStyle w:val="VerbatimChar"/>
        </w:rPr>
        <w:t xml:space="preserve">compareTo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considera</w:t>
      </w:r>
      <w:r>
        <w:t xml:space="preserve"> </w:t>
      </w:r>
      <w:r>
        <w:rPr>
          <w:rStyle w:val="VerbatimChar"/>
        </w:rPr>
        <w:t xml:space="preserve">2,0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2,00</w:t>
      </w:r>
      <w:r>
        <w:t xml:space="preserve"> </w:t>
      </w:r>
      <w:r>
        <w:t xml:space="preserve">diferentes.</w:t>
      </w:r>
    </w:p>
    <w:p>
      <w:pPr>
        <w:pStyle w:val="BodyText"/>
        <w:jc w:val="both"/>
      </w:pPr>
      <w:r>
        <w:rPr>
          <w:bCs/>
          <w:b/>
        </w:rPr>
        <w:t xml:space="preserve">Escala da média.</w:t>
      </w:r>
      <w:r>
        <w:t xml:space="preserve"> </w:t>
      </w:r>
      <w:r>
        <w:t xml:space="preserve">A divisão usa 10 casas decimais com arredondamento</w:t>
      </w:r>
      <w:r>
        <w:t xml:space="preserve"> </w:t>
      </w:r>
      <w:r>
        <w:rPr>
          <w:rStyle w:val="VerbatimChar"/>
        </w:rPr>
        <w:t xml:space="preserve">HALF_EVEN</w:t>
      </w:r>
      <w:r>
        <w:t xml:space="preserve"> </w:t>
      </w:r>
      <w:r>
        <w:t xml:space="preserve">(a regra do par da ABNT NBR 5891, sem viés). A escala 10 não altera nenhuma decisão. Com entradas de até d casas decimais e n leituras, |E| e LEA, quando diferentes, distam pelo menos 10⁻ᵈ/n, enquanto o arredondamento da média introduz no máximo 0,5 × 10⁻¹⁰. Com d = 7 (a resolução do dado bruto da MMC, AN-29), a decisão se mantém para menos de 2 000 leituras por ponto. E quando |E| = LEA, a média é um decimal finito com até d casas, e a divisão é exata [PREMISSA PV-28].</w:t>
      </w:r>
    </w:p>
    <w:p>
      <w:pPr>
        <w:pStyle w:val="BodyText"/>
        <w:jc w:val="both"/>
      </w:pPr>
      <w:r>
        <w:rPr>
          <w:bCs/>
          <w:b/>
        </w:rPr>
        <w:t xml:space="preserve">Nunca arredondar antes de comparar (RN-18).</w:t>
      </w:r>
      <w:r>
        <w:t xml:space="preserve"> </w:t>
      </w:r>
      <w:r>
        <w:t xml:space="preserve">A média e o erro são guardados com precisão completa; o arredondamento para 5 casas acontece só na saída (DTO e tela). A planilha</w:t>
      </w:r>
      <w:r>
        <w:t xml:space="preserve"> </w:t>
      </w:r>
      <w:r>
        <w:rPr>
          <w:rStyle w:val="VerbatimChar"/>
        </w:rPr>
        <w:t xml:space="preserve">ok-arredondamento.xlsx</w:t>
      </w:r>
      <w:r>
        <w:t xml:space="preserve"> </w:t>
      </w:r>
      <w:r>
        <w:t xml:space="preserve">prova a diferença: com E = 0,00045 e LEA 0,0004, arredondar a média para 4 casas antes de comparar aprovaria uma peça fora da tolerância (CT-06).</w:t>
      </w:r>
    </w:p>
    <w:p>
      <w:pPr>
        <w:pStyle w:val="BodyText"/>
        <w:jc w:val="both"/>
      </w:pPr>
      <w:r>
        <w:rPr>
          <w:bCs/>
          <w:b/>
        </w:rPr>
        <w:t xml:space="preserve">A dízima.</w:t>
      </w:r>
      <w:r>
        <w:t xml:space="preserve"> </w:t>
      </w:r>
      <w:r>
        <w:t xml:space="preserve">Sem escala definida, a divisão de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 </w:t>
      </w:r>
      <w:r>
        <w:t xml:space="preserve">lança</w:t>
      </w:r>
      <w:r>
        <w:t xml:space="preserve"> </w:t>
      </w:r>
      <w:r>
        <w:rPr>
          <w:rStyle w:val="VerbatimChar"/>
        </w:rPr>
        <w:t xml:space="preserve">ArithmeticException: Non-terminating decimal expansion</w:t>
      </w:r>
      <w:r>
        <w:t xml:space="preserve"> </w:t>
      </w:r>
      <w:r>
        <w:t xml:space="preserve">quando a média é uma dízima, como 10,02 / 3. O teste com três leituras foi escrito antes da implementação e falhou exatamente assim (achado A1); a planilha</w:t>
      </w:r>
      <w:r>
        <w:t xml:space="preserve"> </w:t>
      </w:r>
      <w:r>
        <w:rPr>
          <w:rStyle w:val="VerbatimChar"/>
        </w:rPr>
        <w:t xml:space="preserve">ok-tres-leituras.xlsx</w:t>
      </w:r>
      <w:r>
        <w:t xml:space="preserve"> </w:t>
      </w:r>
      <w:r>
        <w:t xml:space="preserve">cobre o caso de ponta a ponta (CT-07).</w:t>
      </w:r>
    </w:p>
    <w:bookmarkEnd w:id="39"/>
    <w:bookmarkStart w:id="40" w:name="invariantes-do-domínio"/>
    <w:p>
      <w:pPr>
        <w:pStyle w:val="Heading2"/>
      </w:pPr>
      <w:r>
        <w:t xml:space="preserve">4.4 Invariantes do domínio</w:t>
      </w:r>
    </w:p>
    <w:p>
      <w:pPr>
        <w:pStyle w:val="FirstParagraph"/>
        <w:jc w:val="both"/>
      </w:pPr>
      <w:r>
        <w:rPr>
          <w:bCs/>
          <w:b/>
        </w:rPr>
        <w:t xml:space="preserve">Valores derivados, não armazenados.</w:t>
      </w:r>
      <w:r>
        <w:t xml:space="preserve"> </w:t>
      </w:r>
      <w:r>
        <w:t xml:space="preserve">Erro sistemático, status e parecer não são campos dos records: são calculados a partir da média e do ponto. Assim não existe, por construção, um ponto com erro incoerente com a média, um ponto fora marcado como dentro, nem uma calibração com ponto fora e parecer</w:t>
      </w:r>
      <w:r>
        <w:t xml:space="preserve"> </w:t>
      </w:r>
      <w:r>
        <w:rPr>
          <w:rStyle w:val="VerbatimChar"/>
        </w:rPr>
        <w:t xml:space="preserve">APROVADO</w:t>
      </w:r>
      <w:r>
        <w:t xml:space="preserve">.</w:t>
      </w:r>
    </w:p>
    <w:p>
      <w:pPr>
        <w:pStyle w:val="BodyText"/>
        <w:jc w:val="both"/>
      </w:pPr>
      <w:r>
        <w:rPr>
          <w:bCs/>
          <w:b/>
        </w:rPr>
        <w:t xml:space="preserve">Lista vazia.</w:t>
      </w:r>
      <w:r>
        <w:t xml:space="preserve"> </w:t>
      </w:r>
      <w:r>
        <w:t xml:space="preserve">Em Java,</w:t>
      </w:r>
      <w:r>
        <w:t xml:space="preserve"> </w:t>
      </w:r>
      <w:r>
        <w:rPr>
          <w:rStyle w:val="VerbatimChar"/>
        </w:rPr>
        <w:t xml:space="preserve">allMatch</w:t>
      </w:r>
      <w:r>
        <w:t xml:space="preserve"> </w:t>
      </w:r>
      <w:r>
        <w:t xml:space="preserve">sobre uma lista vazia devolve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 uma implementação ingênua aprovaria uma calibração sem nenhum ponto. O</w:t>
      </w:r>
      <w:r>
        <w:t xml:space="preserve"> </w:t>
      </w:r>
      <w:r>
        <w:rPr>
          <w:rStyle w:val="VerbatimChar"/>
        </w:rPr>
        <w:t xml:space="preserve">ResultadoCalibracao</w:t>
      </w:r>
      <w:r>
        <w:t xml:space="preserve"> </w:t>
      </w:r>
      <w:r>
        <w:t xml:space="preserve">rejeita a lista vazia no construtor, porque ausência de evidência não pode virar aprovação. O caso foi descoberto por mutação manual: com a verificação removida, todos os testes do cálculo continuaram verdes, e só um teste dedicado passou a pegar o defeito (achado A2).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3763"/>
        <w:gridCol w:w="5596"/>
      </w:tblGrid>
      <w:tr>
        <w:trPr>
          <w:tblHeader w:val="true"/>
        </w:trPr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Mutação introduzida</w:t>
            </w:r>
          </w:p>
        </w:tc>
        <w:tc>
          <w:tcPr>
            <w:tcW w:w="559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Testes que falharam</w:t>
            </w:r>
          </w:p>
        </w:tc>
      </w:tr>
      <w:tr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&lt;= 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trocado por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&lt; 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(fronteira)</w:t>
            </w:r>
          </w:p>
        </w:tc>
        <w:tc>
          <w:tcPr>
            <w:tcW w:w="559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Fronteiras positiva e negativa,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ok-limite</w:t>
            </w:r>
          </w:p>
        </w:tc>
      </w:tr>
      <w:tr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.abs()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removido</w:t>
            </w:r>
          </w:p>
        </w:tc>
        <w:tc>
          <w:tcPr>
            <w:tcW w:w="559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Erro negativo fora da tolerância,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ok-arredondamento</w:t>
            </w:r>
          </w:p>
        </w:tc>
      </w:tr>
      <w:tr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allMatch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trocado por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anyMatch</w:t>
            </w:r>
          </w:p>
        </w:tc>
        <w:tc>
          <w:tcPr>
            <w:tcW w:w="559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Um fora entre vários, mais três cenários da calculadora</w:t>
            </w:r>
          </w:p>
        </w:tc>
      </w:tr>
      <w:tr>
        <w:tc>
          <w:tcPr>
            <w:tcW w:w="376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Verificação de lista vazia removida</w:t>
            </w:r>
          </w:p>
        </w:tc>
        <w:tc>
          <w:tcPr>
            <w:tcW w:w="559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Só o teste dedicado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listaVazia</w:t>
            </w:r>
          </w:p>
        </w:tc>
      </w:tr>
    </w:tbl>
    <w:p>
      <w:pPr>
        <w:pStyle w:val="BodyText"/>
        <w:jc w:val="both"/>
      </w:pPr>
      <w:r>
        <w:rPr>
          <w:bCs/>
          <w:b/>
        </w:rPr>
        <w:t xml:space="preserve">Defesa em profundidade.</w:t>
      </w:r>
      <w:r>
        <w:t xml:space="preserve"> </w:t>
      </w:r>
      <w:r>
        <w:t xml:space="preserve">O construtor do</w:t>
      </w:r>
      <w:r>
        <w:t xml:space="preserve"> </w:t>
      </w:r>
      <w:r>
        <w:rPr>
          <w:rStyle w:val="VerbatimChar"/>
        </w:rPr>
        <w:t xml:space="preserve">PontoEnsaio</w:t>
      </w:r>
      <w:r>
        <w:t xml:space="preserve"> </w:t>
      </w:r>
      <w:r>
        <w:t xml:space="preserve">repete as regras de linha do contrato (R10, R13, R14, R15 e o mínimo de duas leituras). A ingestão rejeita antes, mas o domínio não aceita um ponto inválido vindo de outra origem, como a futura</w:t>
      </w:r>
      <w:r>
        <w:t xml:space="preserve"> </w:t>
      </w:r>
      <w:r>
        <w:rPr>
          <w:rStyle w:val="VerbatimChar"/>
        </w:rPr>
        <w:t xml:space="preserve">fn-ingestao</w:t>
      </w:r>
      <w:r>
        <w:t xml:space="preserve">.</w:t>
      </w:r>
    </w:p>
    <w:bookmarkEnd w:id="40"/>
    <w:bookmarkEnd w:id="41"/>
    <w:bookmarkStart w:id="48" w:name="interface-web"/>
    <w:p>
      <w:pPr>
        <w:pStyle w:val="Heading1"/>
      </w:pPr>
      <w:r>
        <w:t xml:space="preserve">5. Interface web</w:t>
      </w:r>
    </w:p>
    <w:p>
      <w:pPr>
        <w:pStyle w:val="FirstParagraph"/>
        <w:jc w:val="both"/>
      </w:pPr>
      <w:r>
        <w:t xml:space="preserve">O objetivo da entrega pede os resultados e o parecer</w:t>
      </w:r>
      <w:r>
        <w:t xml:space="preserve"> </w:t>
      </w:r>
      <w:r>
        <w:t xml:space="preserve">“</w:t>
      </w:r>
      <w:r>
        <w:t xml:space="preserve">numa interface de utilizador limpa e intuitiva</w:t>
      </w:r>
      <w:r>
        <w:t xml:space="preserve">”</w:t>
      </w:r>
      <w:r>
        <w:t xml:space="preserve">. A tela é uma página estática servida pelo próprio Spring Boot, em HTML, CSS e JavaScript puro, sem bibliotecas: o operador escolhe a planilha, envia e vê o parecer em destaque e uma tabela por ponto com leituras, média, referência, erro, LEA e status.</w:t>
      </w:r>
    </w:p>
    <w:p>
      <w:pPr>
        <w:pStyle w:val="CaptionedFigure"/>
      </w:pPr>
      <w:r>
        <w:drawing>
          <wp:inline>
            <wp:extent cx="5486400" cy="3931761"/>
            <wp:effectExtent b="0" l="0" r="0" t="0"/>
            <wp:docPr descr="Figura 2 — Processamento de ok-reprovado.xlsx: parecer REPROVADO em destaque e o ponto fora da tolerância identificado por texto e cor (CT-30)." title="" id="43" name="Picture"/>
            <a:graphic>
              <a:graphicData uri="http://schemas.openxmlformats.org/drawingml/2006/picture">
                <pic:pic>
                  <pic:nvPicPr>
                    <pic:cNvPr descr="evidencias/tela/ok-reprovado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3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— Processamento de ok-reprovado.xlsx: parecer REPROVADO em destaque e o ponto fora da tolerância identificado por texto e cor (CT-30).</w:t>
      </w:r>
    </w:p>
    <w:p>
      <w:pPr>
        <w:pStyle w:val="BodyText"/>
        <w:jc w:val="both"/>
      </w:pPr>
      <w:r>
        <w:t xml:space="preserve">As escolhas da tela:</w:t>
      </w:r>
    </w:p>
    <w:p>
      <w:pPr>
        <w:pStyle w:val="Compact"/>
        <w:numPr>
          <w:ilvl w:val="0"/>
          <w:numId w:val="1003"/>
        </w:numPr>
        <w:jc w:val="both"/>
      </w:pPr>
      <w:r>
        <w:rPr>
          <w:bCs/>
          <w:b/>
        </w:rPr>
        <w:t xml:space="preserve">Enum exato, rótulo e cor.</w:t>
      </w:r>
      <w:r>
        <w:t xml:space="preserve"> </w:t>
      </w:r>
      <w:r>
        <w:t xml:space="preserve">Status e parecer aparecem com o valor exato do roteiro, um rótulo em português e uma cor. A informação nunca depende só da cor (daltonismo; RNF-15 cita a WCAG 2.1 nível AA), e o contraste das cores é de pelo menos 4,5:1.</w:t>
      </w:r>
    </w:p>
    <w:p>
      <w:pPr>
        <w:pStyle w:val="Compact"/>
        <w:numPr>
          <w:ilvl w:val="0"/>
          <w:numId w:val="1003"/>
        </w:numPr>
        <w:jc w:val="both"/>
      </w:pPr>
      <w:r>
        <w:rPr>
          <w:bCs/>
          <w:b/>
        </w:rPr>
        <w:t xml:space="preserve">Tabela semântica.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&lt;th scope="col"&gt;</w:t>
      </w:r>
      <w:r>
        <w:t xml:space="preserve">, legível por leitores de tela.</w:t>
      </w:r>
    </w:p>
    <w:p>
      <w:pPr>
        <w:pStyle w:val="Compact"/>
        <w:numPr>
          <w:ilvl w:val="0"/>
          <w:numId w:val="1003"/>
        </w:numPr>
        <w:jc w:val="both"/>
      </w:pPr>
      <w:r>
        <w:rPr>
          <w:bCs/>
          <w:b/>
        </w:rPr>
        <w:t xml:space="preserve">Texto inserido só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textContent</w:t>
      </w:r>
      <w:r>
        <w:rPr>
          <w:bCs/>
          <w:b/>
        </w:rPr>
        <w:t xml:space="preserve">.</w:t>
      </w:r>
      <w:r>
        <w:t xml:space="preserve"> </w:t>
      </w:r>
      <w:r>
        <w:t xml:space="preserve">A característica é texto livre vindo da planilha; inseri-la como HTML abriria espaço para injeção de script (XSS).</w:t>
      </w:r>
    </w:p>
    <w:p>
      <w:pPr>
        <w:pStyle w:val="Compact"/>
        <w:numPr>
          <w:ilvl w:val="0"/>
          <w:numId w:val="1003"/>
        </w:numPr>
        <w:jc w:val="both"/>
      </w:pPr>
      <w:r>
        <w:rPr>
          <w:bCs/>
          <w:b/>
        </w:rPr>
        <w:t xml:space="preserve">CSS e JavaScript fora do HTML.</w:t>
      </w:r>
      <w:r>
        <w:t xml:space="preserve"> </w:t>
      </w:r>
      <w:r>
        <w:t xml:space="preserve">Permite, no futuro, uma política de segurança de conteúdo (CSP) com</w:t>
      </w:r>
      <w:r>
        <w:t xml:space="preserve"> </w:t>
      </w:r>
      <w:r>
        <w:rPr>
          <w:rStyle w:val="VerbatimChar"/>
        </w:rPr>
        <w:t xml:space="preserve">script-src 'self'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both"/>
      </w:pPr>
      <w:r>
        <w:rPr>
          <w:bCs/>
          <w:b/>
        </w:rPr>
        <w:t xml:space="preserve">Tela sempre coerente.</w:t>
      </w:r>
      <w:r>
        <w:t xml:space="preserve"> </w:t>
      </w:r>
      <w:r>
        <w:t xml:space="preserve">O resultado anterior é limpo antes de cada envio, em caso de erro e ao trocar de arquivo; durante o envio, o botão e o campo de arquivo ficam travados. Sem a trava, a resposta de uma planilha apareceria sob o nome da seguinte (achado A12; CT-33).</w:t>
      </w:r>
    </w:p>
    <w:p>
      <w:pPr>
        <w:pStyle w:val="Compact"/>
        <w:numPr>
          <w:ilvl w:val="0"/>
          <w:numId w:val="1003"/>
        </w:numPr>
        <w:jc w:val="both"/>
      </w:pPr>
      <w:r>
        <w:rPr>
          <w:bCs/>
          <w:b/>
        </w:rPr>
        <w:t xml:space="preserve">Formatação.</w:t>
      </w:r>
      <w:r>
        <w:t xml:space="preserve"> </w:t>
      </w:r>
      <w:r>
        <w:t xml:space="preserve">Média e erro com 5 casas e vírgula decimal; leituras, referência e LEA com as casas que o número trouxe, sem completar zeros.</w:t>
      </w:r>
    </w:p>
    <w:p>
      <w:pPr>
        <w:pStyle w:val="Compact"/>
        <w:numPr>
          <w:ilvl w:val="0"/>
          <w:numId w:val="1003"/>
        </w:numPr>
        <w:jc w:val="both"/>
      </w:pPr>
      <w:r>
        <w:rPr>
          <w:bCs/>
          <w:b/>
        </w:rPr>
        <w:t xml:space="preserve">Erros legíveis.</w:t>
      </w:r>
      <w:r>
        <w:t xml:space="preserve"> </w:t>
      </w:r>
      <w:r>
        <w:t xml:space="preserve">A mensagem geral e uma tabela com linha, coluna, regra e mensagem de cada erro; no erro 500, o identificador para o suporte.</w:t>
      </w:r>
    </w:p>
    <w:p>
      <w:pPr>
        <w:pStyle w:val="CaptionedFigure"/>
      </w:pPr>
      <w:r>
        <w:drawing>
          <wp:inline>
            <wp:extent cx="5486400" cy="3013780"/>
            <wp:effectExtent b="0" l="0" r="0" t="0"/>
            <wp:docPr descr="Figura 3 — Planilha inválida (inv-multiplos-erros.xlsx): os três erros de linha devolvidos juntos, com linha, coluna e regra (CT-31)." title="" id="46" name="Picture"/>
            <a:graphic>
              <a:graphicData uri="http://schemas.openxmlformats.org/drawingml/2006/picture">
                <pic:pic>
                  <pic:nvPicPr>
                    <pic:cNvPr descr="evidencias/tela/inv-multiplos-erro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3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— Planilha inválida (inv-multiplos-erros.xlsx): os três erros de linha devolvidos juntos, com linha, coluna e regra (CT-31).</w:t>
      </w:r>
    </w:p>
    <w:bookmarkEnd w:id="48"/>
    <w:bookmarkStart w:id="52" w:name="validação-da-entrada-segurança-e-lgpd"/>
    <w:p>
      <w:pPr>
        <w:pStyle w:val="Heading1"/>
      </w:pPr>
      <w:r>
        <w:t xml:space="preserve">6. Validação da entrada, segurança e LGPD</w:t>
      </w:r>
    </w:p>
    <w:p>
      <w:pPr>
        <w:pStyle w:val="FirstParagraph"/>
        <w:jc w:val="both"/>
      </w:pPr>
      <w:r>
        <w:t xml:space="preserve">O sistema é de apoio a um processo de metrologia sujeito à ISO/IEC 17025. A entrada é tratada como não confiável, os erros não expõem detalhes internos, e nenhum dado pessoal ou de cliente entra no log, no repositório ou nos testes.</w:t>
      </w:r>
    </w:p>
    <w:bookmarkStart w:id="49" w:name="limites-da-entrada"/>
    <w:p>
      <w:pPr>
        <w:pStyle w:val="Heading2"/>
      </w:pPr>
      <w:r>
        <w:t xml:space="preserve">6.1 Limites da entrada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1700"/>
        <w:gridCol w:w="3141"/>
        <w:gridCol w:w="3318"/>
        <w:gridCol w:w="1200"/>
      </w:tblGrid>
      <w:tr>
        <w:trPr>
          <w:tblHeader w:val="true"/>
        </w:trP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Limite</w:t>
            </w:r>
          </w:p>
        </w:tc>
        <w:tc>
          <w:tcPr>
            <w:tcW w:w="314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Onde</w:t>
            </w:r>
          </w:p>
        </w:tc>
        <w:tc>
          <w:tcPr>
            <w:tcW w:w="3318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Valor</w:t>
            </w:r>
          </w:p>
        </w:tc>
        <w:tc>
          <w:tcPr>
            <w:tcW w:w="12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Evidência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Tamanho do upload</w:t>
            </w:r>
          </w:p>
        </w:tc>
        <w:tc>
          <w:tcPr>
            <w:tcW w:w="314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Multipart do Spring</w:t>
            </w:r>
          </w:p>
        </w:tc>
        <w:tc>
          <w:tcPr>
            <w:tcW w:w="3318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5 MB (5 × 1024² bytes); acima disso, 413</w:t>
            </w:r>
          </w:p>
        </w:tc>
        <w:tc>
          <w:tcPr>
            <w:tcW w:w="12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CT-23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Tamanho no leitor (R01)</w:t>
            </w:r>
          </w:p>
        </w:tc>
        <w:tc>
          <w:tcPr>
            <w:tcW w:w="314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LeitorPlanilhaPoi</w:t>
            </w:r>
            <w:r>
              <w:rPr>
                <w:sz w:val="16"/>
                <w:szCs w:val="16"/>
              </w:rPr>
              <w:t xml:space="preserve">, antes de abrir o conteúdo</w:t>
            </w:r>
          </w:p>
        </w:tc>
        <w:tc>
          <w:tcPr>
            <w:tcW w:w="3318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Os mesmos 5 MB; segunda barreira para 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fn-ingestao</w:t>
            </w:r>
          </w:p>
        </w:tc>
        <w:tc>
          <w:tcPr>
            <w:tcW w:w="12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CT-22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Tipo do arquivo (R02)</w:t>
            </w:r>
          </w:p>
        </w:tc>
        <w:tc>
          <w:tcPr>
            <w:tcW w:w="314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Assinatura do conteúdo, não a extensão</w:t>
            </w:r>
          </w:p>
        </w:tc>
        <w:tc>
          <w:tcPr>
            <w:tcW w:w="3318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Só OOXML; um CSV renomeado para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.xlsx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é recusado</w:t>
            </w:r>
          </w:p>
        </w:tc>
        <w:tc>
          <w:tcPr>
            <w:tcW w:w="12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CT-08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Bomba de descompactação</w:t>
            </w:r>
          </w:p>
        </w:tc>
        <w:tc>
          <w:tcPr>
            <w:tcW w:w="314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ZipSecureFile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do POI (D-013)</w:t>
            </w:r>
          </w:p>
        </w:tc>
        <w:tc>
          <w:tcPr>
            <w:tcW w:w="3318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50 MB por entrada do zip</w:t>
            </w:r>
          </w:p>
        </w:tc>
        <w:tc>
          <w:tcPr>
            <w:tcW w:w="12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CT-27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Número de linhas (R09)</w:t>
            </w:r>
          </w:p>
        </w:tc>
        <w:tc>
          <w:tcPr>
            <w:tcW w:w="314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Leitor</w:t>
            </w:r>
          </w:p>
        </w:tc>
        <w:tc>
          <w:tcPr>
            <w:tcW w:w="3318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10 mil linhas de dados</w:t>
            </w:r>
          </w:p>
        </w:tc>
        <w:tc>
          <w:tcPr>
            <w:tcW w:w="12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CT-26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Fórmulas e macros</w:t>
            </w:r>
          </w:p>
        </w:tc>
        <w:tc>
          <w:tcPr>
            <w:tcW w:w="314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Leitor</w:t>
            </w:r>
          </w:p>
        </w:tc>
        <w:tc>
          <w:tcPr>
            <w:tcW w:w="3318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Fórmulas rejeitadas (R11); nada é avaliado nem executado</w:t>
            </w:r>
          </w:p>
        </w:tc>
        <w:tc>
          <w:tcPr>
            <w:tcW w:w="12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CT-16</w:t>
            </w:r>
          </w:p>
        </w:tc>
      </w:tr>
    </w:tbl>
    <w:p>
      <w:pPr>
        <w:pStyle w:val="BodyText"/>
        <w:jc w:val="both"/>
      </w:pPr>
      <w:r>
        <w:t xml:space="preserve">O limite do multipart e a R01 usam o mesmo byte:</w:t>
      </w:r>
      <w:r>
        <w:t xml:space="preserve"> </w:t>
      </w:r>
      <w:r>
        <w:rPr>
          <w:rStyle w:val="VerbatimChar"/>
        </w:rPr>
        <w:t xml:space="preserve">5MB</w:t>
      </w:r>
      <w:r>
        <w:t xml:space="preserve"> </w:t>
      </w:r>
      <w:r>
        <w:t xml:space="preserve">no Spring vale 5 × 1024² bytes, igual à constante do leitor (achado A10). A fronteira foi provada com</w:t>
      </w:r>
      <w:r>
        <w:t xml:space="preserve"> </w:t>
      </w:r>
      <w:r>
        <w:rPr>
          <w:rStyle w:val="VerbatimChar"/>
        </w:rPr>
        <w:t xml:space="preserve">curl</w:t>
      </w:r>
      <w:r>
        <w:t xml:space="preserve">: um arquivo de exatamente 5 242 880 bytes passa da R01 e cai na R02, porque o conteúdo é aleatório; com 5 242 881 bytes, a resposta é 413 (CT-22 e CT-23). O teste automatizado com</w:t>
      </w:r>
      <w:r>
        <w:t xml:space="preserve"> </w:t>
      </w:r>
      <w:r>
        <w:rPr>
          <w:rStyle w:val="VerbatimChar"/>
        </w:rPr>
        <w:t xml:space="preserve">MockMvc</w:t>
      </w:r>
      <w:r>
        <w:t xml:space="preserve"> </w:t>
      </w:r>
      <w:r>
        <w:t xml:space="preserve">não serve para isso, porque não aplica o limite do multipart (achado A7).</w:t>
      </w:r>
    </w:p>
    <w:p>
      <w:pPr>
        <w:pStyle w:val="BodyText"/>
        <w:jc w:val="both"/>
      </w:pPr>
      <w:r>
        <w:t xml:space="preserve">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é um zip, e o POI carrega a aba inteira na memória. Os padrões do</w:t>
      </w:r>
      <w:r>
        <w:t xml:space="preserve"> </w:t>
      </w:r>
      <w:r>
        <w:rPr>
          <w:rStyle w:val="VerbatimChar"/>
        </w:rPr>
        <w:t xml:space="preserve">ZipSecureFile</w:t>
      </w:r>
      <w:r>
        <w:t xml:space="preserve"> </w:t>
      </w:r>
      <w:r>
        <w:t xml:space="preserve">aceitam até 4 GB por entrada: mesmo com a R01, uma entrada muito comprimida chegaria a ~500 MB de XML. O leitor fixa 50 MB por entrada, mais de 10 vezes acima da maior planilha que o contrato aceita (10 mil linhas com 5 leituras geram ~4,2 MB de XML). Quem protege a memória são a R01 e a D-013; a R09 limita o volume de dados, não a memória (achado A4).</w:t>
      </w:r>
    </w:p>
    <w:bookmarkEnd w:id="49"/>
    <w:bookmarkStart w:id="50" w:name="tratamento-de-erros"/>
    <w:p>
      <w:pPr>
        <w:pStyle w:val="Heading2"/>
      </w:pPr>
      <w:r>
        <w:t xml:space="preserve">6.2 Tratamento de erros</w:t>
      </w:r>
    </w:p>
    <w:p>
      <w:pPr>
        <w:pStyle w:val="FirstParagraph"/>
        <w:jc w:val="both"/>
      </w:pPr>
      <w:r>
        <w:t xml:space="preserve">Todos os erros saem no formato</w:t>
      </w:r>
      <w:r>
        <w:t xml:space="preserve"> </w:t>
      </w:r>
      <w:r>
        <w:rPr>
          <w:rStyle w:val="VerbatimChar"/>
        </w:rPr>
        <w:t xml:space="preserve">application/problem+json</w:t>
      </w:r>
      <w:r>
        <w:t xml:space="preserve"> </w:t>
      </w:r>
      <w:r>
        <w:t xml:space="preserve">(RFC 9457), com mensagem em português: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900"/>
        <w:gridCol w:w="2520"/>
        <w:gridCol w:w="5939"/>
      </w:tblGrid>
      <w:tr>
        <w:trPr>
          <w:tblHeader w:val="true"/>
        </w:trPr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Código</w:t>
            </w:r>
          </w:p>
        </w:tc>
        <w:tc>
          <w:tcPr>
            <w:tcW w:w="252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Situação</w:t>
            </w:r>
          </w:p>
        </w:tc>
        <w:tc>
          <w:tcPr>
            <w:tcW w:w="593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Corpo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</w:t>
            </w:r>
          </w:p>
        </w:tc>
        <w:tc>
          <w:tcPr>
            <w:tcW w:w="252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Planilha fora do contrato</w:t>
            </w:r>
          </w:p>
        </w:tc>
        <w:tc>
          <w:tcPr>
            <w:tcW w:w="593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Mensagem geral e a lista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erros</w:t>
            </w:r>
            <w:r>
              <w:rPr>
                <w:sz w:val="16"/>
                <w:szCs w:val="16"/>
              </w:rPr>
              <w:t xml:space="preserve">, com linha, coluna, regra e mensagem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</w:t>
            </w:r>
          </w:p>
        </w:tc>
        <w:tc>
          <w:tcPr>
            <w:tcW w:w="252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Requisição sem a parte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arquivo</w:t>
            </w:r>
          </w:p>
        </w:tc>
        <w:tc>
          <w:tcPr>
            <w:tcW w:w="593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“</w:t>
            </w:r>
            <w:r>
              <w:rPr>
                <w:sz w:val="16"/>
                <w:szCs w:val="16"/>
              </w:rPr>
              <w:t xml:space="preserve">Envie a planilha no campo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‘</w:t>
            </w:r>
            <w:r>
              <w:rPr>
                <w:sz w:val="16"/>
                <w:szCs w:val="16"/>
              </w:rPr>
              <w:t xml:space="preserve">arquivo</w:t>
            </w:r>
            <w:r>
              <w:rPr>
                <w:sz w:val="16"/>
                <w:szCs w:val="16"/>
              </w:rPr>
              <w:t xml:space="preserve">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(multipart/form-data).</w:t>
            </w:r>
            <w:r>
              <w:rPr>
                <w:sz w:val="16"/>
                <w:szCs w:val="16"/>
              </w:rPr>
              <w:t xml:space="preserve">”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413</w:t>
            </w:r>
          </w:p>
        </w:tc>
        <w:tc>
          <w:tcPr>
            <w:tcW w:w="252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Arquivo acima de 5 MB</w:t>
            </w:r>
          </w:p>
        </w:tc>
        <w:tc>
          <w:tcPr>
            <w:tcW w:w="593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“</w:t>
            </w:r>
            <w:r>
              <w:rPr>
                <w:sz w:val="16"/>
                <w:szCs w:val="16"/>
              </w:rPr>
              <w:t xml:space="preserve">O arquivo excede o limite de 5 MB.</w:t>
            </w:r>
            <w:r>
              <w:rPr>
                <w:sz w:val="16"/>
                <w:szCs w:val="16"/>
              </w:rPr>
              <w:t xml:space="preserve">”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415</w:t>
            </w:r>
          </w:p>
        </w:tc>
        <w:tc>
          <w:tcPr>
            <w:tcW w:w="252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Requisição que não é multipart</w:t>
            </w:r>
          </w:p>
        </w:tc>
        <w:tc>
          <w:tcPr>
            <w:tcW w:w="593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Cabeçalho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Accept: multipart/form-data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e orientação de envio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500</w:t>
            </w:r>
          </w:p>
        </w:tc>
        <w:tc>
          <w:tcPr>
            <w:tcW w:w="252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Erro inesperado</w:t>
            </w:r>
          </w:p>
        </w:tc>
        <w:tc>
          <w:tcPr>
            <w:tcW w:w="593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Mensagem genérica e um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id</w:t>
            </w:r>
            <w:r>
              <w:rPr>
                <w:sz w:val="16"/>
                <w:szCs w:val="16"/>
              </w:rPr>
              <w:t xml:space="preserve">; o detalhe técnico fica só no log, ligado ao mesmo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id</w:t>
            </w:r>
          </w:p>
        </w:tc>
      </w:tr>
    </w:tbl>
    <w:p>
      <w:pPr>
        <w:pStyle w:val="BodyText"/>
        <w:jc w:val="both"/>
      </w:pPr>
      <w:r>
        <w:t xml:space="preserve">O teste</w:t>
      </w:r>
      <w:r>
        <w:t xml:space="preserve"> </w:t>
      </w:r>
      <w:r>
        <w:rPr>
          <w:rStyle w:val="VerbatimChar"/>
        </w:rPr>
        <w:t xml:space="preserve">ErroInesperadoTest</w:t>
      </w:r>
      <w:r>
        <w:t xml:space="preserve"> </w:t>
      </w:r>
      <w:r>
        <w:t xml:space="preserve">planta uma falha cuja mensagem contém o caminho</w:t>
      </w:r>
      <w:r>
        <w:t xml:space="preserve"> </w:t>
      </w:r>
      <w:r>
        <w:rPr>
          <w:rStyle w:val="VerbatimChar"/>
        </w:rPr>
        <w:t xml:space="preserve">/srv/app/segredo/config.yml</w:t>
      </w:r>
      <w:r>
        <w:t xml:space="preserve"> </w:t>
      </w:r>
      <w:r>
        <w:t xml:space="preserve">e confirma que a resposta 500 não traz o caminho, o nome da exceção nem o rastro de pilha (CT-28). Durante a coleta de evidências, o 400 sem a parte</w:t>
      </w:r>
      <w:r>
        <w:t xml:space="preserve"> </w:t>
      </w:r>
      <w:r>
        <w:rPr>
          <w:rStyle w:val="VerbatimChar"/>
        </w:rPr>
        <w:t xml:space="preserve">arquivo</w:t>
      </w:r>
      <w:r>
        <w:t xml:space="preserve"> </w:t>
      </w:r>
      <w:r>
        <w:t xml:space="preserve">saiu com a mensagem padrão do Spring, em inglês: a classe base do tratamento de erros só personaliza o que é sobrescrito explicitamente. O caso foi corrigido e ganhou um teste (achado A13; CT-25).</w:t>
      </w:r>
    </w:p>
    <w:bookmarkEnd w:id="50"/>
    <w:bookmarkStart w:id="51" w:name="lgpd-e-rastreabilidade"/>
    <w:p>
      <w:pPr>
        <w:pStyle w:val="Heading2"/>
      </w:pPr>
      <w:r>
        <w:t xml:space="preserve">6.3 LGPD e rastreabilidade</w:t>
      </w:r>
    </w:p>
    <w:p>
      <w:pPr>
        <w:pStyle w:val="Compact"/>
        <w:numPr>
          <w:ilvl w:val="0"/>
          <w:numId w:val="1004"/>
        </w:numPr>
        <w:jc w:val="both"/>
      </w:pPr>
      <w:r>
        <w:rPr>
          <w:bCs/>
          <w:b/>
        </w:rPr>
        <w:t xml:space="preserve">Log.</w:t>
      </w:r>
      <w:r>
        <w:t xml:space="preserve"> </w:t>
      </w:r>
      <w:r>
        <w:t xml:space="preserve">Cada planilha recebida deixa uma linha com o SHA-256 e o tamanho do arquivo — inclusive as inválidas —, nunca o conteúdo nem o nome do arquivo, que pode conter nome de cliente ou de técnico (RNF-07, RA-12). O hash identifica o arquivo para rastreabilidade (ISO/IEC 17025) sem expô-lo.</w:t>
      </w:r>
    </w:p>
    <w:p>
      <w:pPr>
        <w:pStyle w:val="Compact"/>
        <w:numPr>
          <w:ilvl w:val="0"/>
          <w:numId w:val="1004"/>
        </w:numPr>
        <w:jc w:val="both"/>
      </w:pPr>
      <w:r>
        <w:rPr>
          <w:bCs/>
          <w:b/>
        </w:rPr>
        <w:t xml:space="preserve">Hash do arquivo inteiro.</w:t>
      </w:r>
      <w:r>
        <w:t xml:space="preserve"> </w:t>
      </w:r>
      <w:r>
        <w:t xml:space="preserve">Se o leitor parar antes do fim, o serviço consome o restante antes de registrar, para que o hash seja o do arquivo inteiro. Lacuna declarada: o 413 é recusado antes de chegar ao serviço e não gera linha de hash (achado A8).</w:t>
      </w:r>
    </w:p>
    <w:p>
      <w:pPr>
        <w:pStyle w:val="Compact"/>
        <w:numPr>
          <w:ilvl w:val="0"/>
          <w:numId w:val="1004"/>
        </w:numPr>
        <w:jc w:val="both"/>
      </w:pPr>
      <w:r>
        <w:rPr>
          <w:bCs/>
          <w:b/>
        </w:rPr>
        <w:t xml:space="preserve">Dados de teste.</w:t>
      </w:r>
      <w:r>
        <w:t xml:space="preserve"> </w:t>
      </w:r>
      <w:r>
        <w:t xml:space="preserve">Todas as 21 planilhas versionadas são sintéticas, geradas por script, sem nome de autor nos metadados. Os arquivos reais da Schulz contêm dados de cliente e nome e matrícula de técnico (RA-11, RA-12) e ficam fora do Git, inclusive a planilha usada no teste de Strict.</w:t>
      </w:r>
    </w:p>
    <w:p>
      <w:pPr>
        <w:pStyle w:val="Compact"/>
        <w:numPr>
          <w:ilvl w:val="0"/>
          <w:numId w:val="1004"/>
        </w:numPr>
        <w:jc w:val="both"/>
      </w:pPr>
      <w:r>
        <w:rPr>
          <w:bCs/>
          <w:b/>
        </w:rPr>
        <w:t xml:space="preserve">Repositório público.</w:t>
      </w:r>
      <w:r>
        <w:t xml:space="preserve"> </w:t>
      </w:r>
      <w:r>
        <w:t xml:space="preserve">Antes da publicação, o histórico completo do Git foi auditado: nenhum arquivo real da Schulz em nenhum commit, e o autor identificado apenas pelo e-mail anônimo do GitHub.</w:t>
      </w:r>
    </w:p>
    <w:p>
      <w:pPr>
        <w:pStyle w:val="Compact"/>
        <w:numPr>
          <w:ilvl w:val="0"/>
          <w:numId w:val="1004"/>
        </w:numPr>
        <w:jc w:val="both"/>
      </w:pPr>
      <w:r>
        <w:rPr>
          <w:bCs/>
          <w:b/>
        </w:rPr>
        <w:t xml:space="preserve">Saída da API.</w:t>
      </w:r>
      <w:r>
        <w:t xml:space="preserve"> </w:t>
      </w:r>
      <w:r>
        <w:t xml:space="preserve">DTOs com campos explícitos impedem que um campo novo do domínio vaze por padrão (Seção 2.4).</w:t>
      </w:r>
    </w:p>
    <w:bookmarkEnd w:id="51"/>
    <w:bookmarkEnd w:id="52"/>
    <w:bookmarkStart w:id="59" w:name="testes-e-evidências-item-3"/>
    <w:p>
      <w:pPr>
        <w:pStyle w:val="Heading1"/>
      </w:pPr>
      <w:r>
        <w:t xml:space="preserve">7. Testes e evidências (Item 3)</w:t>
      </w:r>
    </w:p>
    <w:bookmarkStart w:id="53" w:name="estratégia"/>
    <w:p>
      <w:pPr>
        <w:pStyle w:val="Heading2"/>
      </w:pPr>
      <w:r>
        <w:t xml:space="preserve">7.1 Estratégia</w:t>
      </w:r>
    </w:p>
    <w:p>
      <w:pPr>
        <w:pStyle w:val="FirstParagraph"/>
        <w:jc w:val="both"/>
      </w:pPr>
      <w:r>
        <w:t xml:space="preserve">Os valores esperados não vêm do código Java. Um script independente em Python, com aritmética decimal exata, gerou as 21 planilhas sintéticas e calculou o resultado esperado de cada uma — o</w:t>
      </w:r>
      <w:r>
        <w:t xml:space="preserve"> </w:t>
      </w:r>
      <w:r>
        <w:rPr>
          <w:bCs/>
          <w:b/>
        </w:rPr>
        <w:t xml:space="preserve">oráculo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docs/av03/oraculo-planilhas.md</w:t>
      </w:r>
      <w:r>
        <w:t xml:space="preserve">). As 7 planilhas válidas cobrem um caso cada: aprovação, reprovação, fronteira, erro negativo, tolerância unilateral, arredondamento e média em dízima. As 14 inválidas violam uma regra cada, mais uma com três erros simultâneos.</w:t>
      </w:r>
    </w:p>
    <w:p>
      <w:pPr>
        <w:pStyle w:val="BodyText"/>
        <w:jc w:val="both"/>
      </w:pPr>
      <w:r>
        <w:t xml:space="preserve">O núcleo foi construído com testes escritos antes da implementação (TDD) e, onde a implementação já existia, validado por mutação manual (Seção 4.4). A API e a tela foram verificadas com as mesmas planilhas, por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e no navegador. As 21 respostas da API foram conferidas contra o oráculo por um segundo script, também independente do Java: nenhuma divergência em parecer, status, média, erro, LEA ou regra, linha e coluna dos erros (achado A15).</w:t>
      </w:r>
    </w:p>
    <w:bookmarkEnd w:id="53"/>
    <w:bookmarkStart w:id="54" w:name="ambiente-e-linha-de-base"/>
    <w:p>
      <w:pPr>
        <w:pStyle w:val="Heading2"/>
      </w:pPr>
      <w:r>
        <w:t xml:space="preserve">7.2 Ambiente e linha de base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2753"/>
        <w:gridCol w:w="6606"/>
      </w:tblGrid>
      <w:tr>
        <w:trPr>
          <w:tblHeader w:val="true"/>
        </w:trPr>
        <w:tc>
          <w:tcPr>
            <w:tcW w:w="27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</w:t>
            </w:r>
          </w:p>
        </w:tc>
        <w:tc>
          <w:tcPr>
            <w:tcW w:w="660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w="27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Commit</w:t>
            </w:r>
          </w:p>
        </w:tc>
        <w:tc>
          <w:tcPr>
            <w:tcW w:w="660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86857e9</w:t>
            </w:r>
            <w:r>
              <w:rPr>
                <w:sz w:val="16"/>
                <w:szCs w:val="16"/>
              </w:rPr>
              <w:t xml:space="preserve">, sem alterações locais no código</w:t>
            </w:r>
          </w:p>
        </w:tc>
      </w:tr>
      <w:tr>
        <w:tc>
          <w:tcPr>
            <w:tcW w:w="27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Data da coleta</w:t>
            </w:r>
          </w:p>
        </w:tc>
        <w:tc>
          <w:tcPr>
            <w:tcW w:w="6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11/10/2026, 23:33 (UTC−3); prints da tela às 23:46–23:57</w:t>
            </w:r>
          </w:p>
        </w:tc>
      </w:tr>
      <w:tr>
        <w:tc>
          <w:tcPr>
            <w:tcW w:w="27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6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Ubuntu 24.04.4 LTS</w:t>
            </w:r>
          </w:p>
        </w:tc>
      </w:tr>
      <w:tr>
        <w:tc>
          <w:tcPr>
            <w:tcW w:w="27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JDK</w:t>
            </w:r>
          </w:p>
        </w:tc>
        <w:tc>
          <w:tcPr>
            <w:tcW w:w="660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Eclipse Temurin 21.0.10, compilando com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java.version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17</w:t>
            </w:r>
          </w:p>
        </w:tc>
      </w:tr>
      <w:tr>
        <w:tc>
          <w:tcPr>
            <w:tcW w:w="27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Framework e biblioteca</w:t>
            </w:r>
          </w:p>
        </w:tc>
        <w:tc>
          <w:tcPr>
            <w:tcW w:w="6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Spring Boot 4.1.1 · Apache POI 5.5.1</w:t>
            </w:r>
          </w:p>
        </w:tc>
      </w:tr>
      <w:tr>
        <w:tc>
          <w:tcPr>
            <w:tcW w:w="27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Cliente HTTP</w:t>
            </w:r>
          </w:p>
        </w:tc>
        <w:tc>
          <w:tcPr>
            <w:tcW w:w="6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curl 8.5.0</w:t>
            </w:r>
          </w:p>
        </w:tc>
      </w:tr>
      <w:tr>
        <w:tc>
          <w:tcPr>
            <w:tcW w:w="27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Navegador</w:t>
            </w:r>
          </w:p>
        </w:tc>
        <w:tc>
          <w:tcPr>
            <w:tcW w:w="6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Google Chrome 152 para Linux</w:t>
            </w:r>
          </w:p>
        </w:tc>
      </w:tr>
    </w:tbl>
    <w:p>
      <w:pPr>
        <w:pStyle w:val="BodyText"/>
        <w:jc w:val="both"/>
      </w:pPr>
      <w:r>
        <w:t xml:space="preserve">Todas as respostas da API e a execução da suíte foram coletadas de uma vez, no mesmo commit. Uma evidência coletada antes de uma mudança no código não vale para o código novo; por isso o laço que gera as respostas está documentado em</w:t>
      </w:r>
      <w:r>
        <w:t xml:space="preserve"> </w:t>
      </w:r>
      <w:r>
        <w:rPr>
          <w:rStyle w:val="VerbatimChar"/>
        </w:rPr>
        <w:t xml:space="preserve">docs/av03/evidencias.md</w:t>
      </w:r>
      <w:r>
        <w:t xml:space="preserve"> </w:t>
      </w:r>
      <w:r>
        <w:t xml:space="preserve">e recoletar custa segundos (achado A14). Os commits posteriores à linha de base alteram apenas a documentação.</w:t>
      </w:r>
    </w:p>
    <w:bookmarkEnd w:id="54"/>
    <w:bookmarkStart w:id="55" w:name="testes-automatizados"/>
    <w:p>
      <w:pPr>
        <w:pStyle w:val="Heading2"/>
      </w:pPr>
      <w:r>
        <w:t xml:space="preserve">7.3 Testes automatizados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3300"/>
        <w:gridCol w:w="900"/>
        <w:gridCol w:w="5159"/>
      </w:tblGrid>
      <w:tr>
        <w:trPr>
          <w:tblHeader w:val="true"/>
        </w:trP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Classe de teste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Testes</w:t>
            </w:r>
          </w:p>
        </w:tc>
        <w:tc>
          <w:tcPr>
            <w:tcW w:w="515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 que cobre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CalculadoraMetrologicaTest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Média (divisão exata, lista vazia e nula) e os 7 cenários válidos do oráculo, incluindo a dízima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ResultadoPontoTest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Dentro, fora, fronteira nos dois sinais, um passo acima da fronteira, erro negativo, arredondamento nos dois sinais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ResultadoCalibracaoTest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Parecer com todos dentro, um fora, lista vazia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PoiStrictTest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Recusa do formato Strict pelo POI (arquivo real e sintético)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LeitorPlanilhaPoiTest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Leitura campo a campo e as 7 planilhas válidas de ponta a ponta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LeitorPlanilhaPoiInvalidosTest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Uma ou mais por regra, R01 a R15, com o código da regra no nome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ProcessamentoServiceTest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Hash e tamanho no log, inclusive em planilha inválida e acima da R01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ProcessamentoControllerTest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Endpoint, JSON com 5 casas, 400 com todos os erros, 400 sem arquivo, 415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ErroInesperadoTest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515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500 com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id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e sem detalhe técnico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InterfaceWebTest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Página servida e encaminhamento da raiz para ela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CertificadoApplicationTests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Contexto da aplicação sobe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Total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6"/>
                <w:szCs w:val="16"/>
              </w:rPr>
              <w:t xml:space="preserve">71</w:t>
            </w:r>
          </w:p>
        </w:tc>
        <w:tc>
          <w:tcPr>
            <w:tcW w:w="5159" w:type="dxa"/>
          </w:tcPr>
          <w:p>
            <w:pPr>
              <w:pStyle w:val="Compact"/>
              <w:jc w:val="both"/>
            </w:pPr>
          </w:p>
        </w:tc>
      </w:tr>
    </w:tbl>
    <w:p>
      <w:pPr>
        <w:pStyle w:val="BodyText"/>
        <w:jc w:val="both"/>
      </w:pPr>
      <w:r>
        <w:t xml:space="preserve">Na linha de base, a suíte executou 71 testes, sem falhas nem erros:</w:t>
      </w:r>
    </w:p>
    <w:p>
      <w:pPr>
        <w:pStyle w:val="SourceCode"/>
      </w:pPr>
      <w:r>
        <w:rPr>
          <w:rStyle w:val="VerbatimChar"/>
        </w:rPr>
        <w:t xml:space="preserve">[INFO] Tests run: 71, Failures: 0, Errors: 0, Skipped: 0</w:t>
      </w:r>
      <w:r>
        <w:br/>
      </w:r>
      <w:r>
        <w:rPr>
          <w:rStyle w:val="VerbatimChar"/>
        </w:rPr>
        <w:t xml:space="preserve">[INFO] BUILD SUCCESS</w:t>
      </w:r>
    </w:p>
    <w:p>
      <w:pPr>
        <w:pStyle w:val="FirstParagraph"/>
        <w:jc w:val="both"/>
      </w:pPr>
      <w:r>
        <w:t xml:space="preserve">Num clone limpo do repositório público, o resultado é</w:t>
      </w:r>
      <w:r>
        <w:t xml:space="preserve"> </w:t>
      </w:r>
      <w:r>
        <w:rPr>
          <w:rStyle w:val="VerbatimChar"/>
        </w:rPr>
        <w:t xml:space="preserve">Tests run: 71, Failures: 0, Errors: 0, Skipped: 1</w:t>
      </w:r>
      <w:r>
        <w:t xml:space="preserve">. O teste pulado usa a planilha real da Schulz, que não está no repositório; a mesma verificação roda com a planilha sintética.</w:t>
      </w:r>
    </w:p>
    <w:bookmarkEnd w:id="55"/>
    <w:bookmarkStart w:id="56" w:name="matriz-de-casos-de-teste"/>
    <w:p>
      <w:pPr>
        <w:pStyle w:val="Heading2"/>
      </w:pPr>
      <w:r>
        <w:t xml:space="preserve">7.4 Matriz de casos de teste</w:t>
      </w:r>
    </w:p>
    <w:p>
      <w:pPr>
        <w:pStyle w:val="FirstParagraph"/>
        <w:jc w:val="both"/>
      </w:pPr>
      <w:r>
        <w:t xml:space="preserve">Todos os 33 casos passaram. O Obtido foi lido no arquivo de evidência correspondente, em</w:t>
      </w:r>
      <w:r>
        <w:t xml:space="preserve"> </w:t>
      </w:r>
      <w:r>
        <w:rPr>
          <w:rStyle w:val="VerbatimChar"/>
        </w:rPr>
        <w:t xml:space="preserve">docs/av03/evidencias/</w:t>
      </w:r>
      <w:r>
        <w:t xml:space="preserve">; a matriz completa, com Esperado e Obtido lado a lado, está em</w:t>
      </w:r>
      <w:r>
        <w:t xml:space="preserve"> </w:t>
      </w:r>
      <w:r>
        <w:rPr>
          <w:rStyle w:val="VerbatimChar"/>
        </w:rPr>
        <w:t xml:space="preserve">docs/av03/evidencias.md</w:t>
      </w:r>
      <w:r>
        <w:t xml:space="preserve">.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879"/>
        <w:gridCol w:w="1443"/>
        <w:gridCol w:w="3500"/>
        <w:gridCol w:w="2300"/>
        <w:gridCol w:w="1237"/>
      </w:tblGrid>
      <w:tr>
        <w:trPr>
          <w:tblHeader w:val="true"/>
        </w:trP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Requisito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Entrada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Obtido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Resultado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CT-01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1.2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ok-aprovado.xlsx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200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APROVADO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· 3 pontos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DENTRO_DA_TOLERANCIA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· médias 4,13500 · 10,80900 · 0,92880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CT-02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1.2 (parecer)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ok-reprovado.xlsx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200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REPROVADO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· só o Diâmetro furo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FORA_DA_TOLERANCIA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(E = 0,06000 &gt; LEA 0,03)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CT-03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1.2 · D-T04-1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ok-limite.xlsx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200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APROVADO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· E = 0,08000 e −0,05000, iguais ao LEA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DENTRO_DA_TOLERANCIA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CT-04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1.2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ok-erro-negativo.xlsx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200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APROVADO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· E = −0,02500 e −0,01000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DENTRO_DA_TOLERANCIA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CT-05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1.2 · D-T04-2 · R15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ok-unilateral.xlsx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200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REPROVADO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· Posição furo fora (0,12000 &gt; 0,1); leitura 0 aceita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CT-06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1.2 · RN-18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ok-arredondamento.xlsx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200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REPROVADO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· E = 0,00045 e −0,00045 &gt; LEA 0,0004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FORA_DA_TOLERANCIA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CT-07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(n leituras) · Item 1.2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ok-tres-leituras.xlsx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200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REPROVADO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· médias 10,01667 e 1,00333 · Diâmetro haste fora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CT-08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R02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inv-R02-nao-xlsx.xlsx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R02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CT-09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R03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inv-R03-strict.xlsx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R03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CT-10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R04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inv-R04-sem-aba.xlsx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R04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CT-11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R05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inv-R05-sem-tolsup.xlsx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R05 · coluna ToleranciaSuperior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CT-12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R06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inv-R06-uma-leitura.xlsx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R06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CT-13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R07 · D-T04-4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inv-R07-desvio.xlsx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R07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CT-14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R08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inv-R08-vazia.xlsx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R08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CT-15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R10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inv-R10-obrigatorio.xlsx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R10 · linha 3 · Leitura2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CT-16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R11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inv-R11-texto.xlsx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R11 · linha 2 · Leitura1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CT-17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R12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inv-R12-repetida.xlsx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R12 · linha 5 · Caracteristica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CT-18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R13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inv-R13-tolsup-zero.xlsx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R13 · linha 4 · ToleranciaSuperior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CT-19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R14 · D-T04-2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inv-R14-assimetrica.xlsx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R14 · linha 2 · ToleranciaInferior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CT-20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R15 · D-T04-3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inv-R15-negativa-unilateral.xlsx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R15 · linha 5 · Leitura1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CT-21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R10, R11, R14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inv-multiplos-erros.xlsx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três erros juntos: R10 (linha 2), R11 (linha 3), R14 (linha 4)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CT-22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R01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Arquivo de 5 242 880 bytes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R02: passou da R01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CT-23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R01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Arquivo de 5 242 881 bytes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413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“</w:t>
            </w:r>
            <w:r>
              <w:rPr>
                <w:sz w:val="16"/>
                <w:szCs w:val="16"/>
              </w:rPr>
              <w:t xml:space="preserve">O arquivo excede o limite de 5 MB.</w:t>
            </w:r>
            <w:r>
              <w:rPr>
                <w:sz w:val="16"/>
                <w:szCs w:val="16"/>
              </w:rPr>
              <w:t xml:space="preserve">”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CT-24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(upload)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Corpo JSON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415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Accept: multipart/form-data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CT-25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(upload)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Arquivo no campo errado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400 · mensagem em português pedindo o campo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arquivo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CT-26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1.1 · R09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Gerada no teste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10 001 linhas → R09; 10 000 passam; linhas só formatadas não contam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CT-27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R02 · D-013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Limite 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ZipSecureFile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em 52 428 800 bytes (50 MB)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CT-28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Segurança e LGPD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Falha plantada com caminho do servidor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500 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id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· sem caminho, sem exceção, sem rastro de pilha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CT-29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Evidências de teste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Suíte completa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71 testes · 0 falhas · 0 erros · BUILD SUCCESS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CT-30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Interface · Item 1.2 · RNF-15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ok-reprovado.xlsx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na tela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Tabela com 4 pontos; status com enum, rótulo e cor; parecer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REPROVADO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em destaque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CT-31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Interface · Item 1.1</w:t>
            </w:r>
          </w:p>
        </w:tc>
        <w:tc>
          <w:tcPr>
            <w:tcW w:w="35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inv-multiplos-erros.xlsx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na tela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Mensagem e tabela com os três erros (linha, coluna, regra, mensagem)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CT-32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Interface · R01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Arquivo de 5 242 881 bytes na tela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“</w:t>
            </w:r>
            <w:r>
              <w:rPr>
                <w:sz w:val="16"/>
                <w:szCs w:val="16"/>
              </w:rPr>
              <w:t xml:space="preserve">O arquivo excede o limite de 5 MB.</w:t>
            </w:r>
            <w:r>
              <w:rPr>
                <w:sz w:val="16"/>
                <w:szCs w:val="16"/>
              </w:rPr>
              <w:t xml:space="preserve">”</w:t>
            </w:r>
            <w:r>
              <w:rPr>
                <w:sz w:val="16"/>
                <w:szCs w:val="16"/>
              </w:rPr>
              <w:t xml:space="preserve">, sem parecer nem tabela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  <w:tr>
        <w:tc>
          <w:tcPr>
            <w:tcW w:w="87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CT-33</w:t>
            </w:r>
          </w:p>
        </w:tc>
        <w:tc>
          <w:tcPr>
            <w:tcW w:w="144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Interface limpa</w:t>
            </w:r>
          </w:p>
        </w:tc>
        <w:tc>
          <w:tcPr>
            <w:tcW w:w="350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Troca de arquivo sem enviar</w:t>
            </w:r>
          </w:p>
        </w:tc>
        <w:tc>
          <w:tcPr>
            <w:tcW w:w="2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Parecer, tabela e mensagens anteriores somem ao escolher o novo arquivo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Passou</w:t>
            </w:r>
          </w:p>
        </w:tc>
      </w:tr>
    </w:tbl>
    <w:bookmarkEnd w:id="56"/>
    <w:bookmarkStart w:id="57" w:name="exemplos-de-evidência"/>
    <w:p>
      <w:pPr>
        <w:pStyle w:val="Heading2"/>
      </w:pPr>
      <w:r>
        <w:t xml:space="preserve">7.5 Exemplos de evidência</w:t>
      </w:r>
    </w:p>
    <w:p>
      <w:pPr>
        <w:pStyle w:val="FirstParagraph"/>
        <w:jc w:val="both"/>
      </w:pPr>
      <w:r>
        <w:t xml:space="preserve">Resposta da API para</w:t>
      </w:r>
      <w:r>
        <w:t xml:space="preserve"> </w:t>
      </w:r>
      <w:r>
        <w:rPr>
          <w:rStyle w:val="VerbatimChar"/>
        </w:rPr>
        <w:t xml:space="preserve">ok-reprovado.xlsx</w:t>
      </w:r>
      <w:r>
        <w:t xml:space="preserve"> </w:t>
      </w:r>
      <w:r>
        <w:t xml:space="preserve">(CT-02; trecho com dois dos quatro pontos):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"REPROVADO"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"caracteristica"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"Diâmetro furo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"leituras"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6.01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"valorReferencia"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"erroSistematico"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"DENTRO_DA_TOLERANCIA"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"caracteristica"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"Diâmetro furo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"leituras"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6.05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"valorReferencia"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"erroSistematico"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"FORA_DA_TOLERANCIA"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jc w:val="both"/>
      </w:pPr>
      <w:r>
        <w:t xml:space="preserve">Resposta para</w:t>
      </w:r>
      <w:r>
        <w:t xml:space="preserve"> </w:t>
      </w:r>
      <w:r>
        <w:rPr>
          <w:rStyle w:val="VerbatimChar"/>
        </w:rPr>
        <w:t xml:space="preserve">inv-multiplos-erros.xlsx</w:t>
      </w:r>
      <w:r>
        <w:t xml:space="preserve"> </w:t>
      </w:r>
      <w:r>
        <w:t xml:space="preserve">(CT-21), com os três erros devolvidos juntos: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planilha não cumpre o contrato. Corrija os erros listados e envie de novo."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"Leitura2"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"Linha 2, coluna Leitura2: valor obrigatório ausente."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"Leitura1"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"Linha 3, coluna Leitura1: 'n/a' não é um número válido."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"ToleranciaInferior"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"Linha 4 ('Largura base'): tolerância +0.007/-0.002 fora do escopo do MVP — aceitas: bilateral simétrica ou unilateral."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achados-do-desenvolvimento"/>
    <w:p>
      <w:pPr>
        <w:pStyle w:val="Heading2"/>
      </w:pPr>
      <w:r>
        <w:t xml:space="preserve">7.6 Achados do desenvolvimento</w:t>
      </w:r>
    </w:p>
    <w:p>
      <w:pPr>
        <w:pStyle w:val="FirstParagraph"/>
        <w:jc w:val="both"/>
      </w:pPr>
      <w:r>
        <w:t xml:space="preserve">Os testes não serviram só para confirmar o que já se esperava. Os achados abaixo mudaram o código ou a forma de provar o comportamento: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1902"/>
        <w:gridCol w:w="4756"/>
        <w:gridCol w:w="2701"/>
      </w:tblGrid>
      <w:tr>
        <w:trPr>
          <w:tblHeader w:val="true"/>
        </w:trP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Achado</w:t>
            </w:r>
          </w:p>
        </w:tc>
        <w:tc>
          <w:tcPr>
            <w:tcW w:w="475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 que se observou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Consequência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A1</w:t>
            </w:r>
          </w:p>
        </w:tc>
        <w:tc>
          <w:tcPr>
            <w:tcW w:w="475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Sem escala, a divisão de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BigDecimal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lança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ArithmeticException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com média em dízima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Escala 10 com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HALF_EVEN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(Seção 4.3)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A2</w:t>
            </w:r>
          </w:p>
        </w:tc>
        <w:tc>
          <w:tcPr>
            <w:tcW w:w="475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Com a verificação de lista vazia removida, toda a suíte do cálculo continuava verde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Teste dedicado; calibração vazia rejeitada no construtor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A3</w:t>
            </w:r>
          </w:p>
        </w:tc>
        <w:tc>
          <w:tcPr>
            <w:tcW w:w="475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O POI 5.5.1 recusa OOXML Strict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Regra R03 no contrato (Seção 3.4)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A4</w:t>
            </w:r>
          </w:p>
        </w:tc>
        <w:tc>
          <w:tcPr>
            <w:tcW w:w="475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 R09 limita linhas, não memória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Memória protegida pela R01 e pela D-013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A5</w:t>
            </w:r>
          </w:p>
        </w:tc>
        <w:tc>
          <w:tcPr>
            <w:tcW w:w="475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jsonPath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dos testes compara números como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double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Só o texto cru da resposta prova a escala de 5 casas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A6</w:t>
            </w:r>
          </w:p>
        </w:tc>
        <w:tc>
          <w:tcPr>
            <w:tcW w:w="475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 referência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6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sai como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6.0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no JSON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 escala visível de leituras, referência e LEA não é contrato da API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A7</w:t>
            </w:r>
          </w:p>
        </w:tc>
        <w:tc>
          <w:tcPr>
            <w:tcW w:w="475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MockMvc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não aplica o limite do multipart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413 provado com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curl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(CT-22 e CT-23)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A8</w:t>
            </w:r>
          </w:p>
        </w:tc>
        <w:tc>
          <w:tcPr>
            <w:tcW w:w="475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O 413 é recusado antes do serviço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Lacuna declarada: sem linha de hash no log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A9</w:t>
            </w:r>
          </w:p>
        </w:tc>
        <w:tc>
          <w:tcPr>
            <w:tcW w:w="475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Um caminho do servidor na mensagem de uma exceção poderia vazar no 500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Teste prova que não vaza (CT-28)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A10</w:t>
            </w:r>
          </w:p>
        </w:tc>
        <w:tc>
          <w:tcPr>
            <w:tcW w:w="475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5MB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no Spring vale 5 × 1024² bytes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Mesmo byte no multipart e na R01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A11</w:t>
            </w:r>
          </w:p>
        </w:tc>
        <w:tc>
          <w:tcPr>
            <w:tcW w:w="475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MockMvc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não segue o redirecionamento da página inicial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Conteúdo provado em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/index.html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A12</w:t>
            </w:r>
          </w:p>
        </w:tc>
        <w:tc>
          <w:tcPr>
            <w:tcW w:w="475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Sem travar o campo durante o envio, a resposta anterior aparecia sob o nome do arquivo novo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Campo e botão travados; tela limpa na troca (CT-33)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A13</w:t>
            </w:r>
          </w:p>
        </w:tc>
        <w:tc>
          <w:tcPr>
            <w:tcW w:w="475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 400 sem a parte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arquivo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saía com mensagem padrão em inglês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Mensagem sobrescrita e teste novo (CT-25)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A14</w:t>
            </w:r>
          </w:p>
        </w:tc>
        <w:tc>
          <w:tcPr>
            <w:tcW w:w="475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Evidência coletada antes de mudar o código não vale para o código novo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Linha de base única por commit; laço de coleta documentado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A15</w:t>
            </w:r>
          </w:p>
        </w:tc>
        <w:tc>
          <w:tcPr>
            <w:tcW w:w="475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Conferência das 21 respostas por script independente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Nenhuma divergência em relação ao oráculo</w:t>
            </w:r>
          </w:p>
        </w:tc>
      </w:tr>
      <w:tr>
        <w:tc>
          <w:tcPr>
            <w:tcW w:w="1902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A16</w:t>
            </w:r>
          </w:p>
        </w:tc>
        <w:tc>
          <w:tcPr>
            <w:tcW w:w="475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Mensagens do leitor mostram números em formato invariante (</w:t>
            </w:r>
            <w:r>
              <w:rPr>
                <w:rStyle w:val="VerbatimChar"/>
                <w:sz w:val="16"/>
                <w:szCs w:val="16"/>
              </w:rPr>
              <w:t xml:space="preserve">+0.007</w:t>
            </w:r>
            <w:r>
              <w:rPr>
                <w:sz w:val="16"/>
                <w:szCs w:val="16"/>
              </w:rPr>
              <w:t xml:space="preserve">) e um erro de montagem da tela cai na mensagem de rede</w:t>
            </w:r>
          </w:p>
        </w:tc>
        <w:tc>
          <w:tcPr>
            <w:tcW w:w="2701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Limitações declaradas (Seção 9)</w:t>
            </w:r>
          </w:p>
        </w:tc>
      </w:tr>
    </w:tbl>
    <w:bookmarkEnd w:id="58"/>
    <w:bookmarkEnd w:id="59"/>
    <w:bookmarkStart w:id="60" w:name="rastreabilidade"/>
    <w:p>
      <w:pPr>
        <w:pStyle w:val="Heading1"/>
      </w:pPr>
      <w:r>
        <w:t xml:space="preserve">8. Rastreabilidade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1700"/>
        <w:gridCol w:w="1300"/>
        <w:gridCol w:w="3300"/>
        <w:gridCol w:w="3400"/>
        <w:gridCol w:w="900"/>
      </w:tblGrid>
      <w:tr>
        <w:trPr>
          <w:tblHeader w:val="true"/>
        </w:trP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Exigência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Requisitos da AV1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Implementação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Testes automatizados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Casos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Ingestão do Excel (Item 1.1)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RF-01, RF-02, RN-02, UC-01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LeitorPlanilha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LeitorPlanilhaPoi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ProcessamentoController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LeitorPlanilhaPoiTest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LeitorPlanilhaPoiInvalidosTest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ProcessamentoControllerTest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CT-07 a CT-27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Média das leituras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RN-03, RF-06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CalculadoraMetrologica.media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CalculadoraMetrologicaTest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CT-01, CT-07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Erro sistemático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RF-06, RN-28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ResultadoPonto.erroSistematico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ResultadoPontoTest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CT-01 a CT-06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|E| × LEA e status por ponto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RF-08, RN-04, RN-05, AN-17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ResultadoPonto.status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PontoEnsaio.lea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ResultadoPontoTest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CT-03 a CT-06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Parecer final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RF-08, RN-08, AN-34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ResultadoCalibracao.parecer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ResultadoCalibracaoTest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CT-01, CT-02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Precisão e arredondamento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RN-18, RA-05, AN-29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CalculadoraMetrologica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(escala 10),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PontoDto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(5 casas)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CalculadoraMetrologicaTest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ProcessamentoControllerTest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CT-06, CT-07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Número de leituras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RN-01, RN-02, AN-04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R06 e R10 no leitor;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PontoEnsaio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LeitorPlanilhaPoiInvalidosTest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CT-12, CT-15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Desvio da origem não usado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RN-28, AN-05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R07 no leitor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LeitorPlanilhaPoiInvalidosTest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CT-13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Formato Strict (divergência declarada)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RF-01, RNF-13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R03 no leitor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PoiStrictTest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LeitorPlanilhaPoiInvalidosTest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CT-09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Interface (objetivo da entrega)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RNF-15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static/index.html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app.js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estilo.css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InterfaceWebTest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CT-30 a CT-33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Erros sem detalhe interno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RNF-07, RA-12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TratamentoErros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ErroInesperadoTest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ProcessamentoControllerTest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CT-23 a CT-25, CT-28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Hash do arquivo (base da idempotência)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RN-20 (parcial, D-014)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ProcessamentoService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ProcessamentoServiceTest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Dados pessoais fora do log e do Git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RNF-07, RN-35, RA-11, RA-12</w:t>
            </w:r>
          </w:p>
        </w:tc>
        <w:tc>
          <w:tcPr>
            <w:tcW w:w="33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ProcessamentoService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.gitignore</w:t>
            </w:r>
            <w:r>
              <w:rPr>
                <w:sz w:val="16"/>
                <w:szCs w:val="16"/>
              </w:rPr>
              <w:t xml:space="preserve">, planilhas sintéticas</w:t>
            </w:r>
          </w:p>
        </w:tc>
        <w:tc>
          <w:tcPr>
            <w:tcW w:w="340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ProcessamentoServiceTest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bookmarkEnd w:id="60"/>
    <w:bookmarkStart w:id="61" w:name="limitações-e-próximos-passos"/>
    <w:p>
      <w:pPr>
        <w:pStyle w:val="Heading1"/>
      </w:pPr>
      <w:r>
        <w:t xml:space="preserve">9. Limitações e próximos passos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3155"/>
        <w:gridCol w:w="1500"/>
        <w:gridCol w:w="3404"/>
        <w:gridCol w:w="1300"/>
      </w:tblGrid>
      <w:tr>
        <w:trPr>
          <w:tblHeader w:val="true"/>
        </w:trP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Limitação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Motivo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Próximo passo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Referência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Sem persistência nem idempotência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Fora do roteiro da AV3; banco definido na AV2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Gravação no DynamoDB com o hash como chave, na AV4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D-014, D-007, RN-20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Sem incerteza de medição (u, veff, k, U) nem zona de dúvida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Fora do roteiro da AV3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Orçamento de incerteza e status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“</w:t>
            </w:r>
            <w:r>
              <w:rPr>
                <w:sz w:val="16"/>
                <w:szCs w:val="16"/>
              </w:rPr>
              <w:t xml:space="preserve">não conclusivo</w:t>
            </w:r>
            <w:r>
              <w:rPr>
                <w:sz w:val="16"/>
                <w:szCs w:val="16"/>
              </w:rPr>
              <w:t xml:space="preserve">”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RF-07, RN-09, RN-10, R-46 a R-50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Sem geração do PDF do certificado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Fora do roteiro da AV3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Emissão (UC-03) com 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fn-certificado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RF-10, D-005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Sem autenticação nem aprovação do signatário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Fora do roteiro da AV3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Cognito e fluxo de aprovação da AV2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RNF-05, RF-12, D-010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Formato Strict recusado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 POI 5.5.1 não lê Strict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Confirmar com a Schulz que a planilha sanitizada sai em Transitional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RNF-13, PV-26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Tolerância assimétrica recusada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Não cabe num LEA único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Estender a regra se a Schulz usar esse tipo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D-T04-2, R14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Núcleo ainda não implantado na nuvem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Escopo da AV3 é a aplicação web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Handler da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fn-ingestao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sobre o mesmo núcleo; avaliar leitura por streaming (SAX) para reduzir memória na Lambda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D-012, PV-22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Desempenho e cobertura não medidos formalmente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Fora do roteiro da AV3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Medir o tempo de processamento de 100 características e a cobertura do módulo de cálculo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RNF-01, RNF-08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413 sem linha de hash no log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O limite atua antes do serviço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Registrar a recusa no filtro do multipart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Achado A8</w:t>
            </w:r>
          </w:p>
        </w:tc>
      </w:tr>
      <w:tr>
        <w:tc>
          <w:tcPr>
            <w:tcW w:w="3155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Mensagens do leitor com número em formato invariante (</w:t>
            </w:r>
            <w:r>
              <w:rPr>
                <w:rStyle w:val="VerbatimChar"/>
                <w:sz w:val="16"/>
                <w:szCs w:val="16"/>
              </w:rPr>
              <w:t xml:space="preserve">+0.007</w:t>
            </w:r>
            <w:r>
              <w:rPr>
                <w:sz w:val="16"/>
                <w:szCs w:val="16"/>
              </w:rPr>
              <w:t xml:space="preserve">); erro de montagem da tela exibido como erro de rede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Simplicidade do MVP</w:t>
            </w:r>
          </w:p>
        </w:tc>
        <w:tc>
          <w:tcPr>
            <w:tcW w:w="3404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Formatar com vírgula e separar os dois casos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Achado A16</w:t>
            </w:r>
          </w:p>
        </w:tc>
      </w:tr>
    </w:tbl>
    <w:bookmarkEnd w:id="61"/>
    <w:bookmarkStart w:id="62" w:name="premissas-restrições-e-pontos-a-validar"/>
    <w:p>
      <w:pPr>
        <w:pStyle w:val="Heading1"/>
      </w:pPr>
      <w:r>
        <w:t xml:space="preserve">10. Premissas, restrições e pontos a validar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800"/>
        <w:gridCol w:w="1400"/>
        <w:gridCol w:w="3553"/>
        <w:gridCol w:w="3606"/>
      </w:tblGrid>
      <w:tr>
        <w:trPr>
          <w:tblHeader w:val="true"/>
        </w:trP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Tipo</w:t>
            </w:r>
          </w:p>
        </w:tc>
        <w:tc>
          <w:tcPr>
            <w:tcW w:w="35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</w:t>
            </w:r>
          </w:p>
        </w:tc>
        <w:tc>
          <w:tcPr>
            <w:tcW w:w="360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Impacto se a premissa for falsa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PV-19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Respondido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Layout da planilha sanitizada, deixado em aberto pela AV2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Fixado pelo contrato da Seção 3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Item 2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[PREMISSA]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O roteiro não tem Item 2; tratado como erro de numeração (pergunta ao docente sem resposta)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Se houver requisitos próprios, entram na AV4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PV-02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[VALIDAR]</w:t>
            </w:r>
          </w:p>
        </w:tc>
        <w:tc>
          <w:tcPr>
            <w:tcW w:w="35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As seis características de posição do certificado 00091/2026 medem entre 0,132 e 0,959 para LEA 0,100. Pela regra do roteiro, o resultado 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REPROVADO</w:t>
            </w:r>
            <w:r>
              <w:rPr>
                <w:sz w:val="16"/>
                <w:szCs w:val="16"/>
              </w:rPr>
              <w:t xml:space="preserve">, e o certificado atual as imprime sem parecer (D-T04-5)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Se a posição seguir outro critério, a regra precisa de tratamento próprio. Se seguir o mesmo, o sistema revela uma não conformidade que o certificado atual não declara (AN-34)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PV-24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[VALIDAR]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Mínimo de duas leituras por ponto: é exigência do procedimento da Schulz?</w:t>
            </w:r>
          </w:p>
        </w:tc>
        <w:tc>
          <w:tcPr>
            <w:tcW w:w="3606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Altera a R06 e o construtor 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PontoEnsaio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(RN-01)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PV-25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[VALIDAR]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 coluna Deviation da MMC diverge de Actual − Nominal em duas linhas (AN-05); o MVP recalcula sempre e recusa a coluna (D-T04-4)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Nenhum no cálculo; a divergência na origem continua a esclarecer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PV-26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[VALIDAR]</w:t>
            </w:r>
          </w:p>
        </w:tc>
        <w:tc>
          <w:tcPr>
            <w:tcW w:w="3553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 planilha sanitizada pode ser salva como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.xlsx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Transitional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Se não puder, é preciso converter o Strict antes da leitura (RNF-13)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PV-27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[PREMISSA]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As tolerâncias são bilaterais simétricas ou unilaterais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Tolerância assimétrica exige regra própria (R14)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PV-28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[PREMISSA]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Entradas com até 7 casas decimais e menos de 2 000 leituras por ponto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Fora disso, a escala 10 da média precisaria ser revista (Seção 4.3)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PV-29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[PREMISSA]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Todas as grandezas da planilha estão em milímetros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Outra unidade exigiria coluna de unidade no contrato (RN-27)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PV-22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[PREMISSA]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Tempos de execução das funções na nuvem, que a AV2 previa medir nesta entrega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 função não foi implantada; a medição passa para a etapa de nuvem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PV-30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[RESTRIÇÃO]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Repositório público só com dados sintéticos; arquivos reais da Schulz fora do Git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Define o oráculo próprio e o teste do Strict pulado no clone limpo</w:t>
            </w:r>
          </w:p>
        </w:tc>
      </w:tr>
      <w:tr>
        <w:tc>
          <w:tcPr>
            <w:tcW w:w="8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PV-31</w:t>
            </w:r>
          </w:p>
        </w:tc>
        <w:tc>
          <w:tcPr>
            <w:tcW w:w="140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[RESTRIÇÃO]</w:t>
            </w:r>
          </w:p>
        </w:tc>
        <w:tc>
          <w:tcPr>
            <w:tcW w:w="3553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Nenhum dado é gravado na AV3 (D-014)</w:t>
            </w:r>
          </w:p>
        </w:tc>
        <w:tc>
          <w:tcPr>
            <w:tcW w:w="3606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A retenção de 5 anos (DE-04) vale para a arquitetura em nuvem, não para o MVP</w:t>
            </w:r>
          </w:p>
        </w:tc>
      </w:tr>
    </w:tbl>
    <w:bookmarkEnd w:id="62"/>
    <w:bookmarkStart w:id="63" w:name="repositório-e-reprodução"/>
    <w:p>
      <w:pPr>
        <w:pStyle w:val="Heading1"/>
      </w:pPr>
      <w:r>
        <w:t xml:space="preserve">11. Repositório e reprodução</w:t>
      </w:r>
    </w:p>
    <w:p>
      <w:pPr>
        <w:pStyle w:val="FirstParagraph"/>
        <w:jc w:val="both"/>
      </w:pPr>
      <w:r>
        <w:t xml:space="preserve">O código-fonte completo, as planilhas sintéticas, o oráculo, a matriz de evidências e o registro de decisões estão no repositório público:</w:t>
      </w:r>
    </w:p>
    <w:p>
      <w:pPr>
        <w:pStyle w:val="BodyText"/>
        <w:jc w:val="both"/>
      </w:pPr>
      <w:hyperlink r:id="rId20">
        <w:r>
          <w:rPr>
            <w:rStyle w:val="Hyperlink"/>
          </w:rPr>
          <w:t xml:space="preserve">https://github.com/rmainardes/projeto-aplicado-iii</w:t>
        </w:r>
      </w:hyperlink>
    </w:p>
    <w:p>
      <w:pPr>
        <w:pStyle w:val="BodyText"/>
        <w:jc w:val="both"/>
      </w:pPr>
      <w:r>
        <w:t xml:space="preserve">Para executar, com JDK 17 ou superior (o Maven não precisa estar instalado):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https://github.com/rmainardes/projeto-aplicado-iii.git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projeto-aplicado-iii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test                </w:t>
      </w:r>
      <w:r>
        <w:rPr>
          <w:rStyle w:val="CommentTok"/>
        </w:rPr>
        <w:t xml:space="preserve"># 71 testes, 1 pulado (planilha real fora do Git)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spring-boot:run     </w:t>
      </w:r>
      <w:r>
        <w:rPr>
          <w:rStyle w:val="CommentTok"/>
        </w:rPr>
        <w:t xml:space="preserve"># tela em http://localhost:8080/</w:t>
      </w:r>
    </w:p>
    <w:p>
      <w:pPr>
        <w:pStyle w:val="FirstParagraph"/>
        <w:jc w:val="both"/>
      </w:pPr>
      <w:r>
        <w:t xml:space="preserve">O teste de clone limpo foi feito seguindo apenas o README do repositório, que descreve também a API, as planilhas de exemplo e a estrutura de pastas.</w:t>
      </w:r>
    </w:p>
    <w:tbl>
      <w:tblPr>
        <w:tblStyle w:val="Table"/>
        <w:tblW w:w="5000" w:type="pct"/>
        <w:jc w:val="left"/>
        <w:tblInd w:w="108" w:type="dxa"/>
        <w:tblLayout w:type="fixed"/>
        <w:tblLook w:firstRow="1" w:lastRow="0" w:firstColumn="0" w:lastColumn="0" w:noHBand="0" w:noVBand="0" w:val="0020"/>
      </w:tblPr>
      <w:tblGrid>
        <w:gridCol w:w="3829"/>
        <w:gridCol w:w="5530"/>
      </w:tblGrid>
      <w:tr>
        <w:trPr>
          <w:tblHeader w:val="true"/>
        </w:trPr>
        <w:tc>
          <w:tcPr>
            <w:tcW w:w="3829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Caminho</w:t>
            </w:r>
          </w:p>
        </w:tc>
        <w:tc>
          <w:tcPr>
            <w:tcW w:w="553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Conteúdo</w:t>
            </w:r>
          </w:p>
        </w:tc>
      </w:tr>
      <w:tr>
        <w:tc>
          <w:tcPr>
            <w:tcW w:w="382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src/main/java/br/senai_pa3/</w:t>
            </w:r>
          </w:p>
        </w:tc>
        <w:tc>
          <w:tcPr>
            <w:tcW w:w="5530" w:type="dxa"/>
          </w:tcPr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Código da aplicação, nos pacotes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dominio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ingestao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aplicacao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web</w:t>
            </w:r>
          </w:p>
        </w:tc>
      </w:tr>
      <w:tr>
        <w:tc>
          <w:tcPr>
            <w:tcW w:w="382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src/main/resources/static/</w:t>
            </w:r>
          </w:p>
        </w:tc>
        <w:tc>
          <w:tcPr>
            <w:tcW w:w="553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Interface web</w:t>
            </w:r>
          </w:p>
        </w:tc>
      </w:tr>
      <w:tr>
        <w:tc>
          <w:tcPr>
            <w:tcW w:w="382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src/test/</w:t>
            </w:r>
          </w:p>
        </w:tc>
        <w:tc>
          <w:tcPr>
            <w:tcW w:w="553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Testes automatizados e as 21 planilhas sintéticas</w:t>
            </w:r>
          </w:p>
        </w:tc>
      </w:tr>
      <w:tr>
        <w:tc>
          <w:tcPr>
            <w:tcW w:w="382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docs/av03/contrato-planilha.md</w:t>
            </w:r>
          </w:p>
        </w:tc>
        <w:tc>
          <w:tcPr>
            <w:tcW w:w="553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Contrato da planilha, regras R01 a R15</w:t>
            </w:r>
          </w:p>
        </w:tc>
      </w:tr>
      <w:tr>
        <w:tc>
          <w:tcPr>
            <w:tcW w:w="382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docs/av03/oraculo-planilhas.md</w:t>
            </w:r>
          </w:p>
        </w:tc>
        <w:tc>
          <w:tcPr>
            <w:tcW w:w="553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Resultado esperado de cada planilha</w:t>
            </w:r>
          </w:p>
        </w:tc>
      </w:tr>
      <w:tr>
        <w:tc>
          <w:tcPr>
            <w:tcW w:w="382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docs/av03/evidencias.md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Style w:val="VerbatimChar"/>
                <w:sz w:val="16"/>
                <w:szCs w:val="16"/>
              </w:rPr>
              <w:t xml:space="preserve">docs/av03/evidencias/</w:t>
            </w:r>
          </w:p>
        </w:tc>
        <w:tc>
          <w:tcPr>
            <w:tcW w:w="553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Matriz CT-01 a CT-33, respostas da API e prints</w:t>
            </w:r>
          </w:p>
        </w:tc>
      </w:tr>
      <w:tr>
        <w:tc>
          <w:tcPr>
            <w:tcW w:w="382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docs/decisoes.md</w:t>
            </w:r>
          </w:p>
        </w:tc>
        <w:tc>
          <w:tcPr>
            <w:tcW w:w="553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Decisões D-001 a D-014</w:t>
            </w:r>
          </w:p>
        </w:tc>
      </w:tr>
      <w:tr>
        <w:tc>
          <w:tcPr>
            <w:tcW w:w="382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  <w:szCs w:val="16"/>
              </w:rPr>
              <w:t xml:space="preserve">ferramentas/gerar_planilhas.py</w:t>
            </w:r>
          </w:p>
        </w:tc>
        <w:tc>
          <w:tcPr>
            <w:tcW w:w="5530" w:type="dxa"/>
          </w:tcPr>
          <w:p>
            <w:pPr>
              <w:pStyle w:val="Compact"/>
              <w:jc w:val="both"/>
            </w:pPr>
            <w:r>
              <w:rPr>
                <w:sz w:val="16"/>
                <w:szCs w:val="16"/>
              </w:rPr>
              <w:t xml:space="preserve">Gerador das planilhas e do oráculo</w:t>
            </w:r>
          </w:p>
        </w:tc>
      </w:tr>
    </w:tbl>
    <w:bookmarkEnd w:id="63"/>
    <w:bookmarkStart w:id="70" w:name="referências-consultadas"/>
    <w:p>
      <w:pPr>
        <w:pStyle w:val="Heading1"/>
      </w:pPr>
      <w:r>
        <w:t xml:space="preserve">12. Referências consultadas</w:t>
      </w:r>
    </w:p>
    <w:p>
      <w:pPr>
        <w:pStyle w:val="FirstParagraph"/>
        <w:jc w:val="both"/>
      </w:pPr>
      <w:r>
        <w:t xml:space="preserve">As páginas foram consultadas em 12/10/2026.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Projeto Aplicado III.</w:t>
      </w:r>
      <w:r>
        <w:t xml:space="preserve"> </w:t>
      </w:r>
      <w:r>
        <w:rPr>
          <w:iCs/>
          <w:i/>
        </w:rPr>
        <w:t xml:space="preserve">Relatório de Orientação da Entrega — AV 03 (Parte 1)</w:t>
      </w:r>
      <w:r>
        <w:t xml:space="preserve">. UniSENAI/SC, 2026.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Projeto Aplicado III.</w:t>
      </w:r>
      <w:r>
        <w:t xml:space="preserve"> </w:t>
      </w:r>
      <w:r>
        <w:rPr>
          <w:iCs/>
          <w:i/>
        </w:rPr>
        <w:t xml:space="preserve">Identificação do Problema e Levantamento de Requisitos</w:t>
      </w:r>
      <w:r>
        <w:t xml:space="preserve"> </w:t>
      </w:r>
      <w:r>
        <w:t xml:space="preserve">(Entrega AV1, 15/09/2026).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Projeto Aplicado III.</w:t>
      </w:r>
      <w:r>
        <w:t xml:space="preserve"> </w:t>
      </w:r>
      <w:r>
        <w:rPr>
          <w:iCs/>
          <w:i/>
        </w:rPr>
        <w:t xml:space="preserve">Arquitetura em Nuvem</w:t>
      </w:r>
      <w:r>
        <w:t xml:space="preserve"> </w:t>
      </w:r>
      <w:r>
        <w:t xml:space="preserve">(Entrega AV2, 02/10/2026).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Schulz S.A. Orientações de escopo para a Entrega 02, recebidas em 17/09/2026.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ABNT.</w:t>
      </w:r>
      <w:r>
        <w:t xml:space="preserve"> </w:t>
      </w:r>
      <w:r>
        <w:rPr>
          <w:iCs/>
          <w:i/>
        </w:rPr>
        <w:t xml:space="preserve">NBR 5891: Regras de arredondamento na numeração decimal</w:t>
      </w:r>
      <w:r>
        <w:t xml:space="preserve">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ISO/IEC 17025:2017.</w:t>
      </w:r>
      <w:r>
        <w:t xml:space="preserve"> </w:t>
      </w:r>
      <w:r>
        <w:rPr>
          <w:iCs/>
          <w:i/>
        </w:rPr>
        <w:t xml:space="preserve">General requirements for the competence of testing and calibration laboratories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Brasil.</w:t>
      </w:r>
      <w:r>
        <w:t xml:space="preserve"> </w:t>
      </w:r>
      <w:r>
        <w:rPr>
          <w:iCs/>
          <w:i/>
        </w:rPr>
        <w:t xml:space="preserve">Lei nº 13.709/2018 — Lei Geral de Proteção de Dados Pessoais (LGPD)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https://www.planalto.gov.br/ccivil_03/_ato2015-2018/2018/lei/l13709.htm</w:t>
        </w:r>
      </w:hyperlink>
    </w:p>
    <w:p>
      <w:pPr>
        <w:pStyle w:val="Compact"/>
        <w:numPr>
          <w:ilvl w:val="0"/>
          <w:numId w:val="1005"/>
        </w:numPr>
      </w:pPr>
      <w:r>
        <w:t xml:space="preserve">IETF.</w:t>
      </w:r>
      <w:r>
        <w:t xml:space="preserve"> </w:t>
      </w:r>
      <w:r>
        <w:rPr>
          <w:iCs/>
          <w:i/>
        </w:rPr>
        <w:t xml:space="preserve">RFC 9457 — Problem Details for HTTP APIs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https://www.rfc-editor.org/rfc/rfc9457</w:t>
        </w:r>
      </w:hyperlink>
    </w:p>
    <w:p>
      <w:pPr>
        <w:pStyle w:val="Compact"/>
        <w:numPr>
          <w:ilvl w:val="0"/>
          <w:numId w:val="1005"/>
        </w:numPr>
      </w:pPr>
      <w:r>
        <w:t xml:space="preserve">W3C.</w:t>
      </w:r>
      <w:r>
        <w:t xml:space="preserve"> </w:t>
      </w:r>
      <w:r>
        <w:rPr>
          <w:iCs/>
          <w:i/>
        </w:rPr>
        <w:t xml:space="preserve">Web Content Accessibility Guidelines (WCAG) 2.1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https://www.w3.org/TR/WCAG21/</w:t>
        </w:r>
      </w:hyperlink>
    </w:p>
    <w:p>
      <w:pPr>
        <w:pStyle w:val="Compact"/>
        <w:numPr>
          <w:ilvl w:val="0"/>
          <w:numId w:val="1005"/>
        </w:numPr>
      </w:pPr>
      <w:r>
        <w:t xml:space="preserve">Oracle.</w:t>
      </w:r>
      <w:r>
        <w:t xml:space="preserve"> </w:t>
      </w:r>
      <w:r>
        <w:rPr>
          <w:iCs/>
          <w:i/>
        </w:rPr>
        <w:t xml:space="preserve">Java SE 17 API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java.math.BigDecimal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https://docs.oracle.com/en/java/javase/17/docs/api/java.base/java/math/BigDecimal.html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Spring.</w:t>
      </w:r>
      <w:r>
        <w:t xml:space="preserve"> </w:t>
      </w:r>
      <w:r>
        <w:rPr>
          <w:iCs/>
          <w:i/>
        </w:rPr>
        <w:t xml:space="preserve">Spring Boot — documentação e política de suporte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https://spring.io/projects/spring-boot</w:t>
        </w:r>
      </w:hyperlink>
    </w:p>
    <w:p>
      <w:pPr>
        <w:pStyle w:val="Compact"/>
        <w:numPr>
          <w:ilvl w:val="0"/>
          <w:numId w:val="1005"/>
        </w:numPr>
      </w:pPr>
      <w:r>
        <w:t xml:space="preserve">Apache Software Foundation.</w:t>
      </w:r>
      <w:r>
        <w:t xml:space="preserve"> </w:t>
      </w:r>
      <w:r>
        <w:rPr>
          <w:iCs/>
          <w:i/>
        </w:rPr>
        <w:t xml:space="preserve">Apache POI — the Java API for Microsoft Documents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https://poi.apache.org/</w:t>
        </w:r>
      </w:hyperlink>
    </w:p>
    <w:bookmarkEnd w:id="70"/>
    <w:sect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8192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pos="0" w:val="num"/>
        </w:tabs>
        <w:ind w:hanging="480" w:left="720"/>
      </w:pPr>
      <w:rPr/>
    </w:lvl>
    <w:lvl w:ilvl="1">
      <w:start w:val="1"/>
      <w:numFmt w:val="decimal"/>
      <w:lvlText w:val="%2."/>
      <w:lvlJc w:val="left"/>
      <w:pPr>
        <w:tabs>
          <w:tab w:pos="0" w:val="num"/>
        </w:tabs>
        <w:ind w:hanging="480" w:left="1440"/>
      </w:pPr>
      <w:rPr/>
    </w:lvl>
    <w:lvl w:ilvl="2">
      <w:start w:val="1"/>
      <w:numFmt w:val="decimal"/>
      <w:lvlText w:val="%3."/>
      <w:lvlJc w:val="left"/>
      <w:pPr>
        <w:tabs>
          <w:tab w:pos="0" w:val="num"/>
        </w:tabs>
        <w:ind w:hanging="480" w:left="2160"/>
      </w:pPr>
      <w:rPr/>
    </w:lvl>
    <w:lvl w:ilvl="3">
      <w:start w:val="1"/>
      <w:numFmt w:val="decimal"/>
      <w:lvlText w:val="%4."/>
      <w:lvlJc w:val="left"/>
      <w:pPr>
        <w:tabs>
          <w:tab w:pos="0" w:val="num"/>
        </w:tabs>
        <w:ind w:hanging="480" w:left="2880"/>
      </w:pPr>
      <w:rPr/>
    </w:lvl>
    <w:lvl w:ilvl="4">
      <w:start w:val="1"/>
      <w:numFmt w:val="decimal"/>
      <w:lvlText w:val="%5."/>
      <w:lvlJc w:val="left"/>
      <w:pPr>
        <w:tabs>
          <w:tab w:pos="0" w:val="num"/>
        </w:tabs>
        <w:ind w:hanging="480" w:left="3600"/>
      </w:pPr>
      <w:rPr/>
    </w:lvl>
    <w:lvl w:ilvl="5">
      <w:start w:val="1"/>
      <w:numFmt w:val="decimal"/>
      <w:lvlText w:val="%6."/>
      <w:lvlJc w:val="left"/>
      <w:pPr>
        <w:tabs>
          <w:tab w:pos="0" w:val="num"/>
        </w:tabs>
        <w:ind w:hanging="480" w:left="4320"/>
      </w:pPr>
      <w:rPr/>
    </w:lvl>
    <w:lvl w:ilvl="6">
      <w:start w:val="1"/>
      <w:numFmt w:val="decimal"/>
      <w:lvlText w:val="%7."/>
      <w:lvlJc w:val="left"/>
      <w:pPr>
        <w:tabs>
          <w:tab w:pos="0" w:val="num"/>
        </w:tabs>
        <w:ind w:hanging="480" w:left="5040"/>
      </w:pPr>
      <w:rPr/>
    </w:lvl>
    <w:lvl w:ilvl="7">
      <w:start w:val="1"/>
      <w:numFmt w:val="decimal"/>
      <w:lvlText w:val="%8."/>
      <w:lvlJc w:val="left"/>
      <w:pPr>
        <w:tabs>
          <w:tab w:pos="0" w:val="num"/>
        </w:tabs>
        <w:ind w:hanging="480" w:left="5760"/>
      </w:pPr>
      <w:rPr/>
    </w:lvl>
    <w:lvl w:ilvl="8">
      <w:start w:val="1"/>
      <w:numFmt w:val="decimal"/>
      <w:lvlText w:val="%9."/>
      <w:lvlJc w:val="left"/>
      <w:pPr>
        <w:tabs>
          <w:tab w:pos="0" w:val="num"/>
        </w:tabs>
        <w:ind w:hanging="480" w:left="6480"/>
      </w:pPr>
      <w:rPr/>
    </w:lvl>
  </w:abstractNum>
  <w:abstractNum w:abstractNumId="2">
    <w:lvl w:ilvl="0">
      <w:numFmt w:val="bullet"/>
      <w:lvlText w:val=""/>
      <w:lvlJc w:val="left"/>
      <w:pPr>
        <w:tabs>
          <w:tab w:pos="0" w:val="num"/>
        </w:tabs>
        <w:ind w:hanging="480" w:lef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left"/>
      <w:pPr>
        <w:tabs>
          <w:tab w:pos="0" w:val="num"/>
        </w:tabs>
        <w:ind w:hanging="480" w:lef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left"/>
      <w:pPr>
        <w:tabs>
          <w:tab w:pos="0" w:val="num"/>
        </w:tabs>
        <w:ind w:hanging="480" w:lef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left"/>
      <w:pPr>
        <w:tabs>
          <w:tab w:pos="0" w:val="num"/>
        </w:tabs>
        <w:ind w:hanging="480" w:lef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left"/>
      <w:pPr>
        <w:tabs>
          <w:tab w:pos="0" w:val="num"/>
        </w:tabs>
        <w:ind w:hanging="480" w:lef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left"/>
      <w:pPr>
        <w:tabs>
          <w:tab w:pos="0" w:val="num"/>
        </w:tabs>
        <w:ind w:hanging="480" w:lef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left"/>
      <w:pPr>
        <w:tabs>
          <w:tab w:pos="0" w:val="num"/>
        </w:tabs>
        <w:ind w:hanging="480" w:lef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left"/>
      <w:pPr>
        <w:tabs>
          <w:tab w:pos="0" w:val="num"/>
        </w:tabs>
        <w:ind w:hanging="480" w:lef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left"/>
      <w:pPr>
        <w:tabs>
          <w:tab w:pos="0" w:val="num"/>
        </w:tabs>
        <w:ind w:hanging="480" w:left="6480"/>
      </w:pPr>
      <w:rPr>
        <w:rFonts w:ascii="Symbol" w:cs="Symbol" w:hAnsi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pos="0" w:val="num"/>
        </w:tabs>
        <w:ind w:hanging="480" w:lef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left"/>
      <w:pPr>
        <w:tabs>
          <w:tab w:pos="0" w:val="num"/>
        </w:tabs>
        <w:ind w:hanging="480" w:lef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left"/>
      <w:pPr>
        <w:tabs>
          <w:tab w:pos="0" w:val="num"/>
        </w:tabs>
        <w:ind w:hanging="480" w:lef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left"/>
      <w:pPr>
        <w:tabs>
          <w:tab w:pos="0" w:val="num"/>
        </w:tabs>
        <w:ind w:hanging="480" w:lef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left"/>
      <w:pPr>
        <w:tabs>
          <w:tab w:pos="0" w:val="num"/>
        </w:tabs>
        <w:ind w:hanging="480" w:lef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left"/>
      <w:pPr>
        <w:tabs>
          <w:tab w:pos="0" w:val="num"/>
        </w:tabs>
        <w:ind w:hanging="480" w:lef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left"/>
      <w:pPr>
        <w:tabs>
          <w:tab w:pos="0" w:val="num"/>
        </w:tabs>
        <w:ind w:hanging="480" w:lef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left"/>
      <w:pPr>
        <w:tabs>
          <w:tab w:pos="0" w:val="num"/>
        </w:tabs>
        <w:ind w:hanging="480" w:lef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left"/>
      <w:pPr>
        <w:tabs>
          <w:tab w:pos="0" w:val="num"/>
        </w:tabs>
        <w:ind w:hanging="480" w:left="6480"/>
      </w:pPr>
      <w:rPr>
        <w:rFonts w:ascii="Symbol" w:cs="Symbol" w:hAnsi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pos="0" w:val="num"/>
        </w:tabs>
        <w:ind w:hanging="480" w:lef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left"/>
      <w:pPr>
        <w:tabs>
          <w:tab w:pos="0" w:val="num"/>
        </w:tabs>
        <w:ind w:hanging="480" w:lef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left"/>
      <w:pPr>
        <w:tabs>
          <w:tab w:pos="0" w:val="num"/>
        </w:tabs>
        <w:ind w:hanging="480" w:lef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left"/>
      <w:pPr>
        <w:tabs>
          <w:tab w:pos="0" w:val="num"/>
        </w:tabs>
        <w:ind w:hanging="480" w:lef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left"/>
      <w:pPr>
        <w:tabs>
          <w:tab w:pos="0" w:val="num"/>
        </w:tabs>
        <w:ind w:hanging="480" w:lef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left"/>
      <w:pPr>
        <w:tabs>
          <w:tab w:pos="0" w:val="num"/>
        </w:tabs>
        <w:ind w:hanging="480" w:lef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left"/>
      <w:pPr>
        <w:tabs>
          <w:tab w:pos="0" w:val="num"/>
        </w:tabs>
        <w:ind w:hanging="480" w:lef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left"/>
      <w:pPr>
        <w:tabs>
          <w:tab w:pos="0" w:val="num"/>
        </w:tabs>
        <w:ind w:hanging="480" w:lef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left"/>
      <w:pPr>
        <w:tabs>
          <w:tab w:pos="0" w:val="num"/>
        </w:tabs>
        <w:ind w:hanging="480" w:left="6480"/>
      </w:pPr>
      <w:rPr>
        <w:rFonts w:ascii="Symbol" w:cs="Symbol" w:hAnsi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doNotTrackMoves/>
  <w:footnotePr>
    <w:footnote w:id="-1"/>
    <w:footnote w:id="0"/>
  </w:footnotePr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bidi="" w:eastAsia="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lang w:bidi="ar-SA" w:eastAsia="en-US" w:val="pt-BR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0"/>
      <w:szCs w:val="20"/>
      <w:lang w:bidi="ar-SA" w:eastAsia="en-US" w:val="pt-BR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16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26"/>
      <w:szCs w:val="26"/>
    </w:rPr>
  </w:style>
  <w:style w:customStyle="1" w:styleId="Author" w:type="paragraph">
    <w:name w:val="Author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0"/>
      <w:szCs w:val="20"/>
      <w:lang w:bidi="ar-SA" w:eastAsia="en-US" w:val="pt-BR"/>
    </w:rPr>
  </w:style>
  <w:style w:styleId="Date" w:type="paragraph">
    <w:name w:val="Date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0"/>
      <w:szCs w:val="20"/>
      <w:lang w:bidi="ar-SA" w:eastAsia="en-US" w:val="pt-BR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default="1" w:styleId="Table" w:type="table">
    <w:name w:val="Table"/>
    <w:basedOn w:val="TableNormal"/>
    <w:semiHidden/>
    <w:unhideWhenUsed/>
    <w:qFormat/>
    <w:rPr>
      <w:sz w:val="16"/>
      <w:szCs w:val="16"/>
    </w:rPr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42" Target="media/rId42.png" /><Relationship Type="http://schemas.openxmlformats.org/officeDocument/2006/relationships/hyperlink" Id="rId67" Target="https://docs.oracle.com/en/java/javase/17/docs/api/java.base/java/math/BigDecimal.html" TargetMode="External" /><Relationship Type="http://schemas.openxmlformats.org/officeDocument/2006/relationships/hyperlink" Id="rId20" Target="https://github.com/rmainardes/projeto-aplicado-iii" TargetMode="External" /><Relationship Type="http://schemas.openxmlformats.org/officeDocument/2006/relationships/hyperlink" Id="rId69" Target="https://poi.apache.org/" TargetMode="External" /><Relationship Type="http://schemas.openxmlformats.org/officeDocument/2006/relationships/hyperlink" Id="rId68" Target="https://spring.io/projects/spring-boot" TargetMode="External" /><Relationship Type="http://schemas.openxmlformats.org/officeDocument/2006/relationships/hyperlink" Id="rId64" Target="https://www.planalto.gov.br/ccivil_03/_ato2015-2018/2018/lei/l13709.htm" TargetMode="External" /><Relationship Type="http://schemas.openxmlformats.org/officeDocument/2006/relationships/hyperlink" Id="rId65" Target="https://www.rfc-editor.org/rfc/rfc9457" TargetMode="External" /><Relationship Type="http://schemas.openxmlformats.org/officeDocument/2006/relationships/hyperlink" Id="rId66" Target="https://www.w3.org/TR/WCAG2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cs.oracle.com/en/java/javase/17/docs/api/java.base/java/math/BigDecimal.html" TargetMode="External" /><Relationship Type="http://schemas.openxmlformats.org/officeDocument/2006/relationships/hyperlink" Id="rId20" Target="https://github.com/rmainardes/projeto-aplicado-iii" TargetMode="External" /><Relationship Type="http://schemas.openxmlformats.org/officeDocument/2006/relationships/hyperlink" Id="rId69" Target="https://poi.apache.org/" TargetMode="External" /><Relationship Type="http://schemas.openxmlformats.org/officeDocument/2006/relationships/hyperlink" Id="rId68" Target="https://spring.io/projects/spring-boot" TargetMode="External" /><Relationship Type="http://schemas.openxmlformats.org/officeDocument/2006/relationships/hyperlink" Id="rId64" Target="https://www.planalto.gov.br/ccivil_03/_ato2015-2018/2018/lei/l13709.htm" TargetMode="External" /><Relationship Type="http://schemas.openxmlformats.org/officeDocument/2006/relationships/hyperlink" Id="rId65" Target="https://www.rfc-editor.org/rfc/rfc9457" TargetMode="External" /><Relationship Type="http://schemas.openxmlformats.org/officeDocument/2006/relationships/hyperlink" Id="rId66" Target="https://www.w3.org/TR/WCAG21/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22</Pages>
  <Words>9060</Words>
  <Characters>48493</Characters>
  <CharactersWithSpaces>57060</CharactersWithSpaces>
  <Paragraphs>704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— Parte 1: Aplicação Transacional</dc:title>
  <dc:creator>Rodrigo Mainardes Ribeiro</dc:creator>
  <dc:language>pt-BR</dc:language>
  <cp:keywords/>
  <dcterms:created xsi:type="dcterms:W3CDTF">2026-10-12T19:30:28Z</dcterms:created>
  <dcterms:modified xsi:type="dcterms:W3CDTF">2026-10-12T19:30:28Z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Projeto Aplicado III — Entrega AV3 — 15/10/2026</vt:lpwstr>
  </property>
  <property fmtid="{D5CDD505-2E9C-101B-9397-08002B2CF9AE}" pid="3" name="subtitle">
    <vt:lpwstr>Automação da Emissão de Certificados de Calibração — Schulz S.A.</vt:lpwstr>
  </property>
</Properties>
</file>