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F2A38"/>
          <w:sz w:val="44"/>
          <w:szCs w:val="44"/>
        </w:rPr>
        <w:t xml:space="preserve">Informe de Rendimiento Digital</w:t>
      </w:r>
    </w:p>
    <w:p>
      <w:pPr>
        <w:spacing w:after="60"/>
      </w:pPr>
      <w:r>
        <w:rPr>
          <w:color w:val="555555"/>
          <w:sz w:val="26"/>
          <w:szCs w:val="26"/>
        </w:rPr>
        <w:t xml:space="preserve">Seaduced Experience — Junio 2026 (1–30 jun 2026)</w:t>
      </w:r>
    </w:p>
    <w:p>
      <w:pPr>
        <w:spacing w:after="400"/>
      </w:pPr>
      <w:r>
        <w:rPr>
          <w:i/>
          <w:iCs/>
          <w:color w:val="888888"/>
          <w:sz w:val="20"/>
          <w:szCs w:val="20"/>
        </w:rPr>
        <w:t xml:space="preserve">Fuentes: Google Analytics 4, Microsoft Clarity, SumUp</w:t>
      </w:r>
    </w:p>
    <w:p>
      <w:pPr>
        <w:pStyle w:val="Heading1"/>
      </w:pPr>
      <w:r>
        <w:t xml:space="preserve">1. Resumen ejecutivo</w:t>
      </w:r>
    </w:p>
    <w:p>
      <w:pPr>
        <w:spacing w:after="160"/>
      </w:pPr>
      <w:r>
        <w:t xml:space="preserve">En junio de 2026, Seaduced Experience recibió tráfico web medible en Google Analytics 4 y Microsoft Clarity, pero cerró el mes con solo 4 reservas confirmadas en SumUp por un total de 16.997 DKK. El hallazgo principal no es de adquisición de tráfico sino de conversión dentro del embudo: de 139 sesiones que iniciaron el paso “Reservar”, solo 19 llegaron a “Finalización de la compra”, y de esas solo 4 pagaron. Esa caída del 86% entre iniciar reserva e intentar pagar es el cuello de botella prioritario del negocio.</w:t>
      </w:r>
    </w:p>
    <w:p>
      <w:pPr>
        <w:pBdr>
          <w:left w:val="single" w:color="C0622A" w:sz="24" w:space="8"/>
        </w:pBdr>
        <w:spacing w:after="240" w:before="120"/>
        <w:ind w:left="120"/>
      </w:pPr>
      <w:r>
        <w:rPr>
          <w:b/>
          <w:bCs/>
          <w:color w:val="C0622A"/>
        </w:rPr>
        <w:t xml:space="preserve">Cifra clave
</w:t>
      </w:r>
      <w:r>
        <w:t xml:space="preserve">Tasa de conversión de visitante a reserva pagada: ~1.6% (4 de 254 usuarios GA4) o ~0.3% (4 de 1.215 sesiones Clarity). El ingreso por visitante ronda 67 DKK.</w:t>
      </w:r>
    </w:p>
    <w:p>
      <w:pPr>
        <w:pStyle w:val="Heading1"/>
      </w:pPr>
      <w:r>
        <w:t xml:space="preserve">2. Tráfico y adquisición (GA4)</w:t>
      </w:r>
    </w:p>
    <w:p>
      <w:pPr>
        <w:pStyle w:val="Heading2"/>
      </w:pPr>
      <w:r>
        <w:t xml:space="preserve">2.1 Volumen y canales</w:t>
      </w:r>
    </w:p>
    <w:p>
      <w:pPr>
        <w:spacing w:after="160"/>
      </w:pPr>
      <w:r>
        <w:t xml:space="preserve">254 usuarios activos, 100% en plataforma Web. Canal principal: Direct (155 usuarios, 61%), seguido de Organic Search (73, 29%), AI Assistant (17, 7%), Organic Social (6) y Referral (3).</w:t>
      </w:r>
    </w:p>
    <w:p>
      <w:pPr>
        <w:spacing w:after="160"/>
      </w:pPr>
      <w:r>
        <w:t xml:space="preserve">La dependencia de tráfico Directo es alta y puede incluir enlaces compartidos (WhatsApp, guías, reseñas) que GA4 no atribuye a un canal específico.</w:t>
      </w:r>
    </w:p>
    <w:p>
      <w:pPr>
        <w:pStyle w:val="Heading2"/>
      </w:pPr>
      <w:r>
        <w:t xml:space="preserve">2.2 Geografía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3120"/>
        <w:gridCol w:w="15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País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Usuarios activos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% del total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Dinamarca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36%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Estados Unidos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Alemania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Irlanda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Países Bajos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Polonia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Suecia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4%</w:t>
            </w:r>
          </w:p>
        </w:tc>
      </w:tr>
    </w:tbl>
    <w:p>
      <w:pPr>
        <w:spacing w:after="160"/>
      </w:pPr>
      <w:r>
        <w:t xml:space="preserve">Copenhague concentra 83 usuarios (33% del total), coherente con un negocio de turismo local. El resto se reparte en ciudades pequeñas de EE. UU. y Europa, probablemente turistas planificando su viaje antes de llegar.</w:t>
      </w:r>
    </w:p>
    <w:p>
      <w:pPr>
        <w:pStyle w:val="Heading2"/>
      </w:pPr>
      <w:r>
        <w:t xml:space="preserve">2.3 Páginas más vistas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Página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Vistas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Home — Private Boat Tours Copenhagen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694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Book Your Tour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299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Private Boat Tour (1–2h) City Highlights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177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Private Boat Wine Tasting Tour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71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 Your Reservation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61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Home (versión española)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33</w:t>
            </w:r>
          </w:p>
        </w:tc>
      </w:tr>
    </w:tbl>
    <w:p>
      <w:pPr>
        <w:pStyle w:val="Heading2"/>
      </w:pPr>
      <w:r>
        <w:t xml:space="preserve">2.4 Retención</w:t>
      </w:r>
    </w:p>
    <w:p>
      <w:pPr>
        <w:spacing w:after="160"/>
      </w:pPr>
      <w:r>
        <w:t xml:space="preserve">La retención a Día 7 y Día 30 es prácticamente 0% en todas las cohortes de junio. Es esperable en un negocio de compra única (tour turístico), pero confirma que no hay recurrencia orgánica: cualquier estrategia de retorno debe ser activa (email, remarketing), no pasiva.</w:t>
      </w:r>
    </w:p>
    <w:p>
      <w:r>
        <w:br w:type="page"/>
      </w:r>
    </w:p>
    <w:p>
      <w:pPr>
        <w:pStyle w:val="Heading1"/>
      </w:pPr>
      <w:r>
        <w:t xml:space="preserve">3. Comportamiento en el sitio (Microsoft Clarity)</w:t>
      </w:r>
    </w:p>
    <w:p>
      <w:pPr>
        <w:pStyle w:val="Heading2"/>
      </w:pPr>
      <w:r>
        <w:t xml:space="preserve">3.1 Volumen real de sesiones</w:t>
      </w:r>
    </w:p>
    <w:p>
      <w:pPr>
        <w:spacing w:after="160"/>
      </w:pPr>
      <w:r>
        <w:t xml:space="preserve">Clarity registró 1.215 sesiones y 1.180 usuarios únicos, una escala mayor a la que reporta GA4 (254 usuarios). Es importante notar que una parte relevante de ese tráfico está marcado como no humano: 101 sesiones de bot declaradas, más 66 “dispositivo sospechoso”, 27 “red sospechosa” y 100 “interacción sospechosa”. El volumen de tráfico humano real y de calidad es menor a la cifra bruta de 1.215.</w:t>
      </w:r>
    </w:p>
    <w:p>
      <w:pPr>
        <w:pStyle w:val="Heading2"/>
      </w:pPr>
      <w:r>
        <w:t xml:space="preserve">3.2 El embudo de reserva — hallazgo central del informe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236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Paso del embudo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Sesiones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% sobre sesiones totales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Caída respecto al paso anterior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Sesiones totales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1.215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Clic en “Reservar”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11,4%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Finalización de la compra (Clarity)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1,6%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86% de abandono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Reservas pagadas confirmadas (SumUp)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0,3%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79% adicional de fuga</w:t>
            </w:r>
          </w:p>
        </w:tc>
      </w:tr>
    </w:tbl>
    <w:p>
      <w:pPr>
        <w:spacing w:after="160"/>
      </w:pPr>
      <w:r>
        <w:t xml:space="preserve">Este es el dato más accionable del informe: el problema no está en atraer visitantes sino en la fricción entre elegir un tour y completar el pago. Mejorar esta conversión aunque sea marginalmente (de 19 a 30 finalizaciones, por ejemplo) tendría más impacto en ingresos que duplicar el tráfico.</w:t>
      </w:r>
    </w:p>
    <w:p>
      <w:pPr>
        <w:pStyle w:val="Heading2"/>
      </w:pPr>
      <w:r>
        <w:t xml:space="preserve">3.3 Checkout en español — fuga confirmada</w:t>
      </w:r>
    </w:p>
    <w:p>
      <w:pPr>
        <w:spacing w:after="160"/>
      </w:pPr>
      <w:r>
        <w:t xml:space="preserve">Las páginas en español (/es, /es/, /es/book, /es/experiences) suman aproximadamente 178 sesiones en Clarity (14,6% del total), un volumen consistente y nada despreciable. Sin embargo, SumUp no registró ninguna reserva confirmada en español durante junio. Esto apunta a un problema puntual en el flujo de pago o checkout en la versión en español del sitio, no a falta de interés del segmento hispanohablante.</w:t>
      </w:r>
    </w:p>
    <w:p>
      <w:pPr>
        <w:pStyle w:val="Heading2"/>
      </w:pPr>
      <w:r>
        <w:t xml:space="preserve">3.4 Calidad de interacción</w:t>
      </w:r>
    </w:p>
    <w:p>
      <w:pPr>
        <w:spacing w:after="160"/>
      </w:pPr>
      <w:r>
        <w:t xml:space="preserve">Promedio de 1,37 páginas por sesión y 51,7% de profundidad de scroll: la mayoría entra, ve poco contenido y se va. Tiempo activo de 31 segundos sobre 121 segundos de tiempo total en página sugiere pestañas abiertas sin interacción real. Se registraron 65 sesiones con “clic inactivo” y 21 con “clic atrás rápido”, señales de posible confusión en la navegación.</w:t>
      </w:r>
    </w:p>
    <w:p>
      <w:pPr>
        <w:pStyle w:val="Heading2"/>
      </w:pPr>
      <w:r>
        <w:t xml:space="preserve">3.5 Rendimiento técnico</w:t>
      </w:r>
    </w:p>
    <w:p>
      <w:pPr>
        <w:spacing w:after="160"/>
      </w:pPr>
      <w:r>
        <w:t xml:space="preserve">El sitio tiene buen desempeño técnico: puntuación 84/100, LCP 1,04s, INP 160ms, CLS 0,006 — la velocidad no es un factor de pérdida de conversión. Se detectaron 7 errores de JavaScript del tipo “unexpected end of input” en el mismo número de sesiones; conviene revisarlos porque coinciden potencialmente con el tramo de checkout.</w:t>
      </w:r>
    </w:p>
    <w:p>
      <w:r>
        <w:br w:type="page"/>
      </w:r>
    </w:p>
    <w:p>
      <w:pPr>
        <w:pStyle w:val="Heading1"/>
      </w:pPr>
      <w:r>
        <w:t xml:space="preserve">4. Ventas reales (SumUp)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Métrica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Ingreso total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16.997 DKK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Reservas confirmadas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Valor promedio por reserva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4.249 DKK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Pasajeros totales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21 (5,25 por reserva en promedio)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Idioma de las reservas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 inglés</w:t>
            </w:r>
          </w:p>
        </w:tc>
      </w:tr>
    </w:tbl>
    <w:p>
      <w:pPr>
        <w:spacing w:after="160"/>
      </w:pPr>
      <w:r>
        <w:t xml:space="preserve">Tour más vendido: Floating Wine Tasting Experience (50% de las reservas), seguido por dos variantes de City Highlights (25% cada una). La página de aterrizaje del Wine Tasting recibe relativamente pocas vistas en GA4 (71) frente a la home (694), pero convierte mejor — candidato a “producto ancla” para destacar más en el sitio.</w:t>
      </w:r>
    </w:p>
    <w:p>
      <w:pPr>
        <w:spacing w:after="160"/>
      </w:pPr>
      <w:r>
        <w:t xml:space="preserve">Los horarios de reserva se concentran en 11:00, 15:00, 16:00 y 18:00h. Por día de semana, el domingo concentra la mayor parte del ingreso, con jueves y viernes muy por debajo y el resto de los días en cero.</w:t>
      </w:r>
    </w:p>
    <w:p>
      <w:pPr>
        <w:pBdr>
          <w:left w:val="single" w:color="C0622A" w:sz="24" w:space="8"/>
        </w:pBdr>
        <w:spacing w:after="240" w:before="120"/>
        <w:ind w:left="120"/>
      </w:pPr>
      <w:r>
        <w:rPr>
          <w:b/>
          <w:bCs/>
          <w:color w:val="C0622A"/>
        </w:rPr>
        <w:t xml:space="preserve">Limitación de la muestra
</w:t>
      </w:r>
      <w:r>
        <w:t xml:space="preserve">Con solo 4 reservas en el mes, los patrones de hora y día son indicativos, no estadísticamente sólidos. Deben confirmarse con más meses de datos antes de tomar decisiones estructurales (ej. recargo por “hora premium”).</w:t>
      </w:r>
    </w:p>
    <w:p>
      <w:pPr>
        <w:spacing w:after="160"/>
      </w:pPr>
      <w:r>
        <w:t xml:space="preserve">Para profundizar este análisis en el próximo informe sería útil contar con: histórico de meses anteriores para medir tendencia, detalle de fecha/canal/idioma de cada reserva, registro de intentos de pago fallidos o abandonados, y comisiones de SumUp para calcular ingreso neto.</w:t>
      </w:r>
    </w:p>
    <w:p>
      <w:pPr>
        <w:pStyle w:val="Heading1"/>
      </w:pPr>
      <w:r>
        <w:t xml:space="preserve">5. Diagnóstico integrado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Adquisición saludable:</w:t>
      </w:r>
      <w:r>
        <w:t xml:space="preserve"> El tráfico de entrada (SEO, directo, redes) no es el problema principal — el sitio recibe visitas de calidad geográfica y temática relevante (Copenhague y turistas internacionales).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Fuga crítica en el checkout:</w:t>
      </w:r>
      <w:r>
        <w:t xml:space="preserve"> el 86% de quienes empiezan a reservar no llega a pagar. Es la mayor pérdida de ingreso potencial identificada.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Segmento hispanohablante desatendido:</w:t>
      </w:r>
      <w:r>
        <w:t xml:space="preserve"> 178 sesiones en español sin ninguna reserva confirmada sugiere una barrera específica de idioma o de flujo de pago para ese segmento.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Bajo engagement dentro del sitio:</w:t>
      </w:r>
      <w:r>
        <w:t xml:space="preserve"> bajas páginas por sesión y baja profundidad de scroll indican que el contenido no retiene al visitante más allá de la primera impresión.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Retención estructuralmente baja:</w:t>
      </w:r>
      <w:r>
        <w:t xml:space="preserve"> nula recurrencia a 30 días es normal para turismo, pero implica que todo el crecimiento debe venir de nuevos visitantes o de acciones activas de remarketing.</w:t>
      </w:r>
    </w:p>
    <w:p>
      <w:pPr>
        <w:pStyle w:val="Heading1"/>
      </w:pPr>
      <w:r>
        <w:t xml:space="preserve">6. Recomendaciones priorizadas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b/>
          <w:bCs/>
        </w:rPr>
        <w:t xml:space="preserve">Auditar el checkout en español </w:t>
      </w:r>
      <w:r>
        <w:t xml:space="preserve">de punta a punta (idealmente con una sesión real grabada en Clarity) para identificar por qué convierte a 0% pese al volumen de tráfico.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b/>
          <w:bCs/>
        </w:rPr>
        <w:t xml:space="preserve">Investigar los 7 errores de JavaScript </w:t>
      </w:r>
      <w:r>
        <w:t xml:space="preserve">(“unexpected end of input”) y confirmar si ocurren durante el paso de reserva o pago.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b/>
          <w:bCs/>
        </w:rPr>
        <w:t xml:space="preserve">Simplificar el paso entre “Reservar” y “Finalizar compra” </w:t>
      </w:r>
      <w:r>
        <w:t xml:space="preserve">(menos campos, confirmar precio/disponibilidad antes, permitir pago con Apple Pay/Google Pay si SumUp lo soporta) para reducir el abandono del 86%.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b/>
          <w:bCs/>
        </w:rPr>
        <w:t xml:space="preserve">Dar más visibilidad al Wine Tasting Tour </w:t>
      </w:r>
      <w:r>
        <w:t xml:space="preserve">en la home y en campañas, dado que convierte mejor que su volumen de tráfico sugiere.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b/>
          <w:bCs/>
        </w:rPr>
        <w:t xml:space="preserve">Instrumentar mejor el tracking de conversión </w:t>
      </w:r>
      <w:r>
        <w:t xml:space="preserve">(eventos clave en GA4 actualmente en 0, e idealmente integrar SumUp o su equivalente con GA4/Clarity) para que los próximos informes crucen tráfico e ingreso automáticamente.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b/>
          <w:bCs/>
        </w:rPr>
        <w:t xml:space="preserve">Esperar a tener 2–3 meses de datos de SumUp </w:t>
      </w:r>
      <w:r>
        <w:t xml:space="preserve">antes de fijar recargos por hora pico u ofertas de días valle: la muestra actual (4 reservas) es insuficiente para decisiones de pricing.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88888"/>
        <w:sz w:val="18"/>
        <w:szCs w:val="18"/>
      </w:rPr>
      <w:t xml:space="preserve">Seaduced Experience — Informe de Rendimiento Digital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2A3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C062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2026-07-01T08:13:10.943Z</dcterms:created>
  <dcterms:modified xsi:type="dcterms:W3CDTF">2026-07-01T08:13:10.944Z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