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jc w:val="center"/>
        <w:rPr>
          <w:color w:val="ff0000"/>
          <w:sz w:val="40"/>
          <w:szCs w:val="40"/>
        </w:rPr>
      </w:pPr>
      <w:bookmarkStart w:colFirst="0" w:colLast="0" w:name="_ux9ef819p981" w:id="0"/>
      <w:bookmarkEnd w:id="0"/>
      <w:r w:rsidDel="00000000" w:rsidR="00000000" w:rsidRPr="00000000">
        <w:rPr>
          <w:color w:val="ff0000"/>
          <w:sz w:val="40"/>
          <w:szCs w:val="40"/>
          <w:rtl w:val="0"/>
        </w:rPr>
        <w:t xml:space="preserve">Virtualization Migration </w:t>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jc w:val="center"/>
        <w:rPr>
          <w:sz w:val="28"/>
          <w:szCs w:val="28"/>
        </w:rPr>
      </w:pPr>
      <w:bookmarkStart w:colFirst="0" w:colLast="0" w:name="_s4wq13o8n6j1" w:id="1"/>
      <w:bookmarkEnd w:id="1"/>
      <w:r w:rsidDel="00000000" w:rsidR="00000000" w:rsidRPr="00000000">
        <w:rPr>
          <w:sz w:val="28"/>
          <w:szCs w:val="28"/>
          <w:rtl w:val="0"/>
        </w:rPr>
        <w:t xml:space="preserve">Technical Discovery &amp; Risk Assessment</w:t>
      </w:r>
    </w:p>
    <w:p w:rsidR="00000000" w:rsidDel="00000000" w:rsidP="00000000" w:rsidRDefault="00000000" w:rsidRPr="00000000" w14:paraId="00000003">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bookmarkStart w:colFirst="0" w:colLast="0" w:name="_j83xozv7w9uj" w:id="2"/>
      <w:bookmarkEnd w:id="2"/>
      <w:r w:rsidDel="00000000" w:rsidR="00000000" w:rsidRPr="00000000">
        <w:rPr>
          <w:b w:val="1"/>
          <w:sz w:val="28"/>
          <w:szCs w:val="28"/>
          <w:rtl w:val="0"/>
        </w:rPr>
        <w:t xml:space="preserve">Questionnaire Guide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color w:val="ee0000"/>
        </w:rPr>
      </w:pPr>
      <w:r w:rsidDel="00000000" w:rsidR="00000000" w:rsidRPr="00000000">
        <w:rPr>
          <w:b w:val="1"/>
          <w:color w:val="ee0000"/>
          <w:sz w:val="28"/>
          <w:szCs w:val="28"/>
          <w:rtl w:val="0"/>
        </w:rPr>
        <w:t xml:space="preserve">*** </w:t>
      </w:r>
      <w:r w:rsidDel="00000000" w:rsidR="00000000" w:rsidRPr="00000000">
        <w:rPr>
          <w:b w:val="1"/>
          <w:color w:val="ee0000"/>
          <w:sz w:val="28"/>
          <w:szCs w:val="28"/>
          <w:rtl w:val="0"/>
        </w:rPr>
        <w:t xml:space="preserve">INTERNAL ONLY ***</w:t>
      </w:r>
      <w:r w:rsidDel="00000000" w:rsidR="00000000" w:rsidRPr="00000000">
        <w:rPr>
          <w:rtl w:val="0"/>
        </w:rPr>
      </w:r>
    </w:p>
    <w:p w:rsidR="00000000" w:rsidDel="00000000" w:rsidP="00000000" w:rsidRDefault="00000000" w:rsidRPr="00000000" w14:paraId="00000006">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bookmarkStart w:colFirst="0" w:colLast="0" w:name="_ifbj7zpmplyu" w:id="3"/>
      <w:bookmarkEnd w:id="3"/>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sz w:val="20"/>
          <w:szCs w:val="20"/>
          <w:rtl w:val="0"/>
        </w:rPr>
        <w:t xml:space="preserve">This guidance is provided to assess the customer responses to the </w:t>
      </w:r>
      <w:hyperlink r:id="rId6">
        <w:r w:rsidDel="00000000" w:rsidR="00000000" w:rsidRPr="00000000">
          <w:rPr>
            <w:color w:val="1155cc"/>
            <w:sz w:val="20"/>
            <w:szCs w:val="20"/>
            <w:u w:val="single"/>
            <w:rtl w:val="0"/>
          </w:rPr>
          <w:t xml:space="preserve">Virtualization Migration Technical Discovery &amp; Risk Assessment</w:t>
        </w:r>
      </w:hyperlink>
      <w:r w:rsidDel="00000000" w:rsidR="00000000" w:rsidRPr="00000000">
        <w:rPr>
          <w:sz w:val="20"/>
          <w:szCs w:val="20"/>
          <w:rtl w:val="0"/>
        </w:rPr>
        <w:t xml:space="preserve">.</w:t>
      </w:r>
      <w:r w:rsidDel="00000000" w:rsidR="00000000" w:rsidRPr="00000000">
        <w:rPr>
          <w:sz w:val="20"/>
          <w:szCs w:val="20"/>
          <w:rtl w:val="0"/>
        </w:rPr>
        <w:t xml:space="preserve">   The responses help us better determine where a customer is on The Risk Line prior to entering a Virtualization Migration Assessment (VMA).  Keep in mind, the “risk” described in the Considerations column should not be shared directly with the customer.</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sz w:val="22"/>
          <w:szCs w:val="22"/>
        </w:rPr>
      </w:pPr>
      <w:bookmarkStart w:colFirst="0" w:colLast="0" w:name="_q98asi72hre0" w:id="4"/>
      <w:bookmarkEnd w:id="4"/>
      <w:r w:rsidDel="00000000" w:rsidR="00000000" w:rsidRPr="00000000">
        <w:rPr>
          <w:sz w:val="22"/>
          <w:szCs w:val="22"/>
          <w:rtl w:val="0"/>
        </w:rPr>
        <w:t xml:space="preserve">Current State Environment - </w:t>
      </w:r>
      <w:r w:rsidDel="00000000" w:rsidR="00000000" w:rsidRPr="00000000">
        <w:rPr>
          <w:sz w:val="22"/>
          <w:szCs w:val="22"/>
          <w:rtl w:val="0"/>
        </w:rPr>
        <w:t xml:space="preserve">Sizing</w:t>
      </w: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sz w:val="20"/>
          <w:szCs w:val="20"/>
          <w:u w:val="single"/>
          <w:rtl w:val="0"/>
        </w:rPr>
        <w:t xml:space="preserve">Do not fill out this section if the customer has supplied RVTools output; link to the RVTools output from here.</w:t>
      </w:r>
      <w:r w:rsidDel="00000000" w:rsidR="00000000" w:rsidRPr="00000000">
        <w:rPr>
          <w:sz w:val="20"/>
          <w:szCs w:val="20"/>
          <w:rtl w:val="0"/>
        </w:rPr>
        <w:t xml:space="preserve">  </w:t>
      </w:r>
      <w:r w:rsidDel="00000000" w:rsidR="00000000" w:rsidRPr="00000000">
        <w:rPr>
          <w:b w:val="1"/>
          <w:sz w:val="20"/>
          <w:szCs w:val="20"/>
          <w:rtl w:val="0"/>
        </w:rPr>
        <w:t xml:space="preserve">Keep in mind, this is only an approximation, as a more detailed analysis will happen during the VMA.</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10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88.000000000001"/>
        <w:gridCol w:w="3836.999999999999"/>
        <w:tblGridChange w:id="0">
          <w:tblGrid>
            <w:gridCol w:w="6888.000000000001"/>
            <w:gridCol w:w="3836.999999999999"/>
          </w:tblGrid>
        </w:tblGridChange>
      </w:tblGrid>
      <w:tr>
        <w:trPr>
          <w:cantSplit w:val="0"/>
          <w:trHeight w:val="331.3636363636364" w:hRule="atLeast"/>
          <w:tblHeader w:val="0"/>
        </w:trPr>
        <w:tc>
          <w:tcPr>
            <w:gridSpan w:val="2"/>
            <w:shd w:fill="be0000" w:val="clear"/>
            <w:tcMar>
              <w:top w:w="100.0" w:type="dxa"/>
              <w:left w:w="100.0" w:type="dxa"/>
              <w:bottom w:w="100.0" w:type="dxa"/>
              <w:right w:w="100.0" w:type="dxa"/>
            </w:tcMar>
            <w:vAlign w:val="top"/>
          </w:tcPr>
          <w:p w:rsidR="00000000" w:rsidDel="00000000" w:rsidP="00000000" w:rsidRDefault="00000000" w:rsidRPr="00000000" w14:paraId="0000000C">
            <w:pPr>
              <w:widowControl w:val="0"/>
              <w:ind w:right="2730"/>
              <w:rPr>
                <w:b w:val="1"/>
                <w:color w:val="ffffff"/>
                <w:sz w:val="20"/>
                <w:szCs w:val="20"/>
              </w:rPr>
            </w:pPr>
            <w:r w:rsidDel="00000000" w:rsidR="00000000" w:rsidRPr="00000000">
              <w:rPr>
                <w:b w:val="1"/>
                <w:color w:val="ffffff"/>
                <w:sz w:val="20"/>
                <w:szCs w:val="20"/>
                <w:rtl w:val="0"/>
              </w:rPr>
              <w:t xml:space="preserve">Platform Sizing</w:t>
            </w:r>
          </w:p>
        </w:tc>
      </w:tr>
      <w:tr>
        <w:trPr>
          <w:cantSplit w:val="0"/>
          <w:trHeight w:val="343.6363636363637" w:hRule="atLeast"/>
          <w:tblHeader w:val="0"/>
        </w:trPr>
        <w:tc>
          <w:tcPr>
            <w:tcMar>
              <w:top w:w="0.0" w:type="dxa"/>
              <w:left w:w="40.0" w:type="dxa"/>
              <w:bottom w:w="0.0" w:type="dxa"/>
              <w:right w:w="40.0" w:type="dxa"/>
            </w:tcMar>
            <w:vAlign w:val="center"/>
          </w:tcPr>
          <w:p w:rsidR="00000000" w:rsidDel="00000000" w:rsidP="00000000" w:rsidRDefault="00000000" w:rsidRPr="00000000" w14:paraId="0000000E">
            <w:pPr>
              <w:widowControl w:val="0"/>
              <w:spacing w:line="276" w:lineRule="auto"/>
              <w:rPr>
                <w:sz w:val="20"/>
                <w:szCs w:val="20"/>
              </w:rPr>
            </w:pPr>
            <w:r w:rsidDel="00000000" w:rsidR="00000000" w:rsidRPr="00000000">
              <w:rPr>
                <w:sz w:val="20"/>
                <w:szCs w:val="20"/>
                <w:rtl w:val="0"/>
              </w:rPr>
              <w:t xml:space="preserve">How many VMware clusters do you have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right="2895"/>
              <w:rPr>
                <w:sz w:val="20"/>
                <w:szCs w:val="20"/>
              </w:rPr>
            </w:pPr>
            <w:r w:rsidDel="00000000" w:rsidR="00000000" w:rsidRPr="00000000">
              <w:rPr>
                <w:rtl w:val="0"/>
              </w:rPr>
            </w:r>
          </w:p>
        </w:tc>
      </w:tr>
      <w:tr>
        <w:trPr>
          <w:cantSplit w:val="0"/>
          <w:trHeight w:val="331.3636363636364" w:hRule="atLeast"/>
          <w:tblHeader w:val="0"/>
        </w:trPr>
        <w:tc>
          <w:tcPr>
            <w:tcMar>
              <w:top w:w="0.0" w:type="dxa"/>
              <w:left w:w="40.0" w:type="dxa"/>
              <w:bottom w:w="0.0" w:type="dxa"/>
              <w:right w:w="40.0" w:type="dxa"/>
            </w:tcMar>
            <w:vAlign w:val="center"/>
          </w:tcPr>
          <w:p w:rsidR="00000000" w:rsidDel="00000000" w:rsidP="00000000" w:rsidRDefault="00000000" w:rsidRPr="00000000" w14:paraId="00000010">
            <w:pPr>
              <w:widowControl w:val="0"/>
              <w:spacing w:line="276" w:lineRule="auto"/>
              <w:rPr>
                <w:sz w:val="20"/>
                <w:szCs w:val="20"/>
              </w:rPr>
            </w:pPr>
            <w:r w:rsidDel="00000000" w:rsidR="00000000" w:rsidRPr="00000000">
              <w:rPr>
                <w:sz w:val="20"/>
                <w:szCs w:val="20"/>
                <w:rtl w:val="0"/>
              </w:rPr>
              <w:t xml:space="preserve">How many physical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right="2895"/>
              <w:rPr>
                <w:sz w:val="20"/>
                <w:szCs w:val="20"/>
              </w:rPr>
            </w:pPr>
            <w:r w:rsidDel="00000000" w:rsidR="00000000" w:rsidRPr="00000000">
              <w:rPr>
                <w:rtl w:val="0"/>
              </w:rPr>
            </w:r>
          </w:p>
        </w:tc>
      </w:tr>
      <w:tr>
        <w:trPr>
          <w:cantSplit w:val="0"/>
          <w:trHeight w:val="331.3636363636364" w:hRule="atLeast"/>
          <w:tblHeader w:val="0"/>
        </w:trPr>
        <w:tc>
          <w:tcPr>
            <w:tcMar>
              <w:top w:w="0.0" w:type="dxa"/>
              <w:left w:w="40.0" w:type="dxa"/>
              <w:bottom w:w="0.0" w:type="dxa"/>
              <w:right w:w="40.0" w:type="dxa"/>
            </w:tcMar>
            <w:vAlign w:val="center"/>
          </w:tcPr>
          <w:p w:rsidR="00000000" w:rsidDel="00000000" w:rsidP="00000000" w:rsidRDefault="00000000" w:rsidRPr="00000000" w14:paraId="00000012">
            <w:pPr>
              <w:widowControl w:val="0"/>
              <w:spacing w:line="276" w:lineRule="auto"/>
              <w:rPr>
                <w:sz w:val="20"/>
                <w:szCs w:val="20"/>
              </w:rPr>
            </w:pPr>
            <w:r w:rsidDel="00000000" w:rsidR="00000000" w:rsidRPr="00000000">
              <w:rPr>
                <w:sz w:val="20"/>
                <w:szCs w:val="20"/>
                <w:rtl w:val="0"/>
              </w:rPr>
              <w:t xml:space="preserve">How many hypervisors?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right="2895"/>
              <w:rPr>
                <w:sz w:val="20"/>
                <w:szCs w:val="20"/>
              </w:rPr>
            </w:pPr>
            <w:r w:rsidDel="00000000" w:rsidR="00000000" w:rsidRPr="00000000">
              <w:rPr>
                <w:rtl w:val="0"/>
              </w:rPr>
            </w:r>
          </w:p>
        </w:tc>
      </w:tr>
      <w:tr>
        <w:trPr>
          <w:cantSplit w:val="0"/>
          <w:trHeight w:val="331.3636363636364" w:hRule="atLeast"/>
          <w:tblHeader w:val="0"/>
        </w:trPr>
        <w:tc>
          <w:tcPr>
            <w:tcMar>
              <w:top w:w="0.0" w:type="dxa"/>
              <w:left w:w="40.0" w:type="dxa"/>
              <w:bottom w:w="0.0" w:type="dxa"/>
              <w:right w:w="40.0" w:type="dxa"/>
            </w:tcMar>
            <w:vAlign w:val="center"/>
          </w:tcPr>
          <w:p w:rsidR="00000000" w:rsidDel="00000000" w:rsidP="00000000" w:rsidRDefault="00000000" w:rsidRPr="00000000" w14:paraId="00000014">
            <w:pPr>
              <w:widowControl w:val="0"/>
              <w:spacing w:line="276" w:lineRule="auto"/>
              <w:rPr>
                <w:sz w:val="20"/>
                <w:szCs w:val="20"/>
              </w:rPr>
            </w:pPr>
            <w:r w:rsidDel="00000000" w:rsidR="00000000" w:rsidRPr="00000000">
              <w:rPr>
                <w:sz w:val="20"/>
                <w:szCs w:val="20"/>
                <w:rtl w:val="0"/>
              </w:rPr>
              <w:t xml:space="preserve">How many hypervisors per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right="2895"/>
              <w:rPr>
                <w:sz w:val="20"/>
                <w:szCs w:val="20"/>
              </w:rPr>
            </w:pPr>
            <w:r w:rsidDel="00000000" w:rsidR="00000000" w:rsidRPr="00000000">
              <w:rPr>
                <w:rtl w:val="0"/>
              </w:rPr>
            </w:r>
          </w:p>
        </w:tc>
      </w:tr>
      <w:tr>
        <w:trPr>
          <w:cantSplit w:val="0"/>
          <w:trHeight w:val="331.3636363636364" w:hRule="atLeast"/>
          <w:tblHeader w:val="0"/>
        </w:trPr>
        <w:tc>
          <w:tcPr>
            <w:tcMar>
              <w:top w:w="0.0" w:type="dxa"/>
              <w:left w:w="40.0" w:type="dxa"/>
              <w:bottom w:w="0.0" w:type="dxa"/>
              <w:right w:w="40.0" w:type="dxa"/>
            </w:tcMar>
            <w:vAlign w:val="center"/>
          </w:tcPr>
          <w:p w:rsidR="00000000" w:rsidDel="00000000" w:rsidP="00000000" w:rsidRDefault="00000000" w:rsidRPr="00000000" w14:paraId="00000016">
            <w:pPr>
              <w:widowControl w:val="0"/>
              <w:spacing w:line="276" w:lineRule="auto"/>
              <w:rPr>
                <w:sz w:val="20"/>
                <w:szCs w:val="20"/>
              </w:rPr>
            </w:pPr>
            <w:r w:rsidDel="00000000" w:rsidR="00000000" w:rsidRPr="00000000">
              <w:rPr>
                <w:sz w:val="20"/>
                <w:szCs w:val="20"/>
                <w:rtl w:val="0"/>
              </w:rPr>
              <w:t xml:space="preserve">Are there any variations in hardware configurations across hypervisors within the same cluster(s)?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right="2895"/>
              <w:rPr>
                <w:sz w:val="20"/>
                <w:szCs w:val="20"/>
              </w:rPr>
            </w:pPr>
            <w:r w:rsidDel="00000000" w:rsidR="00000000" w:rsidRPr="00000000">
              <w:rPr>
                <w:rtl w:val="0"/>
              </w:rPr>
            </w:r>
          </w:p>
        </w:tc>
      </w:tr>
      <w:tr>
        <w:trPr>
          <w:cantSplit w:val="0"/>
          <w:trHeight w:val="331.3636363636364" w:hRule="atLeast"/>
          <w:tblHeader w:val="0"/>
        </w:trPr>
        <w:tc>
          <w:tcPr>
            <w:tcMar>
              <w:top w:w="0.0" w:type="dxa"/>
              <w:left w:w="40.0" w:type="dxa"/>
              <w:bottom w:w="0.0" w:type="dxa"/>
              <w:right w:w="40.0" w:type="dxa"/>
            </w:tcMar>
            <w:vAlign w:val="center"/>
          </w:tcPr>
          <w:p w:rsidR="00000000" w:rsidDel="00000000" w:rsidP="00000000" w:rsidRDefault="00000000" w:rsidRPr="00000000" w14:paraId="00000018">
            <w:pPr>
              <w:widowControl w:val="0"/>
              <w:spacing w:line="276" w:lineRule="auto"/>
              <w:rPr>
                <w:sz w:val="20"/>
                <w:szCs w:val="20"/>
              </w:rPr>
            </w:pPr>
            <w:r w:rsidDel="00000000" w:rsidR="00000000" w:rsidRPr="00000000">
              <w:rPr>
                <w:sz w:val="20"/>
                <w:szCs w:val="20"/>
                <w:rtl w:val="0"/>
              </w:rPr>
              <w:t xml:space="preserve">How many VMs are you running in your cluster(s)?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right="2895"/>
              <w:rPr>
                <w:sz w:val="20"/>
                <w:szCs w:val="20"/>
              </w:rPr>
            </w:pPr>
            <w:r w:rsidDel="00000000" w:rsidR="00000000" w:rsidRPr="00000000">
              <w:rPr>
                <w:rtl w:val="0"/>
              </w:rPr>
            </w:r>
          </w:p>
        </w:tc>
      </w:tr>
      <w:tr>
        <w:trPr>
          <w:cantSplit w:val="0"/>
          <w:trHeight w:val="331.3636363636364" w:hRule="atLeast"/>
          <w:tblHeader w:val="0"/>
        </w:trPr>
        <w:tc>
          <w:tcPr>
            <w:tcMar>
              <w:top w:w="0.0" w:type="dxa"/>
              <w:left w:w="40.0" w:type="dxa"/>
              <w:bottom w:w="0.0" w:type="dxa"/>
              <w:right w:w="40.0" w:type="dxa"/>
            </w:tcMar>
            <w:vAlign w:val="center"/>
          </w:tcPr>
          <w:p w:rsidR="00000000" w:rsidDel="00000000" w:rsidP="00000000" w:rsidRDefault="00000000" w:rsidRPr="00000000" w14:paraId="0000001A">
            <w:pPr>
              <w:widowControl w:val="0"/>
              <w:spacing w:line="276" w:lineRule="auto"/>
              <w:rPr>
                <w:sz w:val="20"/>
                <w:szCs w:val="20"/>
              </w:rPr>
            </w:pPr>
            <w:r w:rsidDel="00000000" w:rsidR="00000000" w:rsidRPr="00000000">
              <w:rPr>
                <w:sz w:val="20"/>
                <w:szCs w:val="20"/>
                <w:rtl w:val="0"/>
              </w:rPr>
              <w:t xml:space="preserve">How many total CPU sockets are occupied on those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ind w:right="2895"/>
              <w:rPr>
                <w:sz w:val="20"/>
                <w:szCs w:val="20"/>
              </w:rPr>
            </w:pPr>
            <w:r w:rsidDel="00000000" w:rsidR="00000000" w:rsidRPr="00000000">
              <w:rPr>
                <w:rtl w:val="0"/>
              </w:rPr>
            </w:r>
          </w:p>
        </w:tc>
      </w:tr>
      <w:tr>
        <w:trPr>
          <w:cantSplit w:val="0"/>
          <w:trHeight w:val="331.3636363636364" w:hRule="atLeast"/>
          <w:tblHeader w:val="0"/>
        </w:trPr>
        <w:tc>
          <w:tcPr>
            <w:tcMar>
              <w:top w:w="0.0" w:type="dxa"/>
              <w:left w:w="40.0" w:type="dxa"/>
              <w:bottom w:w="0.0" w:type="dxa"/>
              <w:right w:w="40.0" w:type="dxa"/>
            </w:tcMar>
            <w:vAlign w:val="center"/>
          </w:tcPr>
          <w:p w:rsidR="00000000" w:rsidDel="00000000" w:rsidP="00000000" w:rsidRDefault="00000000" w:rsidRPr="00000000" w14:paraId="0000001C">
            <w:pPr>
              <w:widowControl w:val="0"/>
              <w:spacing w:line="276" w:lineRule="auto"/>
              <w:rPr>
                <w:sz w:val="20"/>
                <w:szCs w:val="20"/>
              </w:rPr>
            </w:pPr>
            <w:r w:rsidDel="00000000" w:rsidR="00000000" w:rsidRPr="00000000">
              <w:rPr>
                <w:sz w:val="20"/>
                <w:szCs w:val="20"/>
                <w:rtl w:val="0"/>
              </w:rPr>
              <w:t xml:space="preserve">How many total CPU Cores (physical!) do those CPUs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right="2895"/>
              <w:rPr>
                <w:sz w:val="20"/>
                <w:szCs w:val="20"/>
              </w:rPr>
            </w:pPr>
            <w:r w:rsidDel="00000000" w:rsidR="00000000" w:rsidRPr="00000000">
              <w:rPr>
                <w:rtl w:val="0"/>
              </w:rPr>
            </w:r>
          </w:p>
        </w:tc>
      </w:tr>
      <w:tr>
        <w:trPr>
          <w:cantSplit w:val="0"/>
          <w:trHeight w:val="331.3636363636364" w:hRule="atLeast"/>
          <w:tblHeader w:val="0"/>
        </w:trPr>
        <w:tc>
          <w:tcPr>
            <w:tcMar>
              <w:top w:w="0.0" w:type="dxa"/>
              <w:left w:w="40.0" w:type="dxa"/>
              <w:bottom w:w="0.0" w:type="dxa"/>
              <w:right w:w="40.0" w:type="dxa"/>
            </w:tcMar>
            <w:vAlign w:val="center"/>
          </w:tcPr>
          <w:p w:rsidR="00000000" w:rsidDel="00000000" w:rsidP="00000000" w:rsidRDefault="00000000" w:rsidRPr="00000000" w14:paraId="0000001E">
            <w:pPr>
              <w:widowControl w:val="0"/>
              <w:spacing w:line="276" w:lineRule="auto"/>
              <w:rPr>
                <w:sz w:val="20"/>
                <w:szCs w:val="20"/>
              </w:rPr>
            </w:pPr>
            <w:r w:rsidDel="00000000" w:rsidR="00000000" w:rsidRPr="00000000">
              <w:rPr>
                <w:sz w:val="20"/>
                <w:szCs w:val="20"/>
                <w:rtl w:val="0"/>
              </w:rPr>
              <w:t xml:space="preserve">How many sockets per hypervisor?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right="2895"/>
              <w:rPr>
                <w:sz w:val="20"/>
                <w:szCs w:val="20"/>
              </w:rPr>
            </w:pPr>
            <w:r w:rsidDel="00000000" w:rsidR="00000000" w:rsidRPr="00000000">
              <w:rPr>
                <w:rtl w:val="0"/>
              </w:rPr>
            </w:r>
          </w:p>
        </w:tc>
      </w:tr>
      <w:tr>
        <w:trPr>
          <w:cantSplit w:val="0"/>
          <w:trHeight w:val="331.3636363636364" w:hRule="atLeast"/>
          <w:tblHeader w:val="0"/>
        </w:trPr>
        <w:tc>
          <w:tcPr>
            <w:tcMar>
              <w:top w:w="0.0" w:type="dxa"/>
              <w:left w:w="40.0" w:type="dxa"/>
              <w:bottom w:w="0.0" w:type="dxa"/>
              <w:right w:w="40.0" w:type="dxa"/>
            </w:tcMar>
            <w:vAlign w:val="center"/>
          </w:tcPr>
          <w:p w:rsidR="00000000" w:rsidDel="00000000" w:rsidP="00000000" w:rsidRDefault="00000000" w:rsidRPr="00000000" w14:paraId="00000020">
            <w:pPr>
              <w:widowControl w:val="0"/>
              <w:spacing w:line="276" w:lineRule="auto"/>
              <w:rPr>
                <w:sz w:val="20"/>
                <w:szCs w:val="20"/>
              </w:rPr>
            </w:pPr>
            <w:r w:rsidDel="00000000" w:rsidR="00000000" w:rsidRPr="00000000">
              <w:rPr>
                <w:sz w:val="20"/>
                <w:szCs w:val="20"/>
                <w:rtl w:val="0"/>
              </w:rPr>
              <w:t xml:space="preserve">What is the total number of virtual CPUs allocated to these VMs?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right="2895"/>
              <w:rPr>
                <w:sz w:val="20"/>
                <w:szCs w:val="20"/>
              </w:rPr>
            </w:pPr>
            <w:r w:rsidDel="00000000" w:rsidR="00000000" w:rsidRPr="00000000">
              <w:rPr>
                <w:rtl w:val="0"/>
              </w:rPr>
            </w:r>
          </w:p>
        </w:tc>
      </w:tr>
      <w:tr>
        <w:trPr>
          <w:cantSplit w:val="0"/>
          <w:trHeight w:val="331.3636363636364" w:hRule="atLeast"/>
          <w:tblHeader w:val="0"/>
        </w:trPr>
        <w:tc>
          <w:tcPr>
            <w:tcMar>
              <w:top w:w="0.0" w:type="dxa"/>
              <w:left w:w="40.0" w:type="dxa"/>
              <w:bottom w:w="0.0" w:type="dxa"/>
              <w:right w:w="40.0" w:type="dxa"/>
            </w:tcMar>
            <w:vAlign w:val="center"/>
          </w:tcPr>
          <w:p w:rsidR="00000000" w:rsidDel="00000000" w:rsidP="00000000" w:rsidRDefault="00000000" w:rsidRPr="00000000" w14:paraId="00000022">
            <w:pPr>
              <w:widowControl w:val="0"/>
              <w:spacing w:line="276" w:lineRule="auto"/>
              <w:rPr>
                <w:sz w:val="20"/>
                <w:szCs w:val="20"/>
              </w:rPr>
            </w:pPr>
            <w:r w:rsidDel="00000000" w:rsidR="00000000" w:rsidRPr="00000000">
              <w:rPr>
                <w:sz w:val="20"/>
                <w:szCs w:val="20"/>
                <w:rtl w:val="0"/>
              </w:rPr>
              <w:t xml:space="preserve">What is the total RAM allocated to these VMs? (Size MiB)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right="2895"/>
              <w:rPr>
                <w:sz w:val="20"/>
                <w:szCs w:val="20"/>
              </w:rPr>
            </w:pPr>
            <w:r w:rsidDel="00000000" w:rsidR="00000000" w:rsidRPr="00000000">
              <w:rPr>
                <w:rtl w:val="0"/>
              </w:rPr>
            </w:r>
          </w:p>
        </w:tc>
      </w:tr>
    </w:tbl>
    <w:p w:rsidR="00000000" w:rsidDel="00000000" w:rsidP="00000000" w:rsidRDefault="00000000" w:rsidRPr="00000000" w14:paraId="00000024">
      <w:pPr>
        <w:pStyle w:val="Heading1"/>
        <w:rPr/>
      </w:pPr>
      <w:bookmarkStart w:colFirst="0" w:colLast="0" w:name="_vbszebo5zgnm" w:id="5"/>
      <w:bookmarkEnd w:id="5"/>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sz w:val="22"/>
          <w:szCs w:val="22"/>
        </w:rPr>
      </w:pPr>
      <w:bookmarkStart w:colFirst="0" w:colLast="0" w:name="_jm49ehlg2nsk" w:id="6"/>
      <w:bookmarkEnd w:id="6"/>
      <w:r w:rsidDel="00000000" w:rsidR="00000000" w:rsidRPr="00000000">
        <w:rPr>
          <w:sz w:val="22"/>
          <w:szCs w:val="22"/>
          <w:rtl w:val="0"/>
        </w:rPr>
        <w:t xml:space="preserve">Current State Environment - Operating Systems</w:t>
      </w:r>
    </w:p>
    <w:p w:rsidR="00000000" w:rsidDel="00000000" w:rsidP="00000000" w:rsidRDefault="00000000" w:rsidRPr="00000000" w14:paraId="00000027">
      <w:pPr>
        <w:rPr>
          <w:sz w:val="20"/>
          <w:szCs w:val="20"/>
        </w:rPr>
      </w:pPr>
      <w:r w:rsidDel="00000000" w:rsidR="00000000" w:rsidRPr="00000000">
        <w:rPr>
          <w:sz w:val="20"/>
          <w:szCs w:val="20"/>
          <w:u w:val="single"/>
          <w:rtl w:val="0"/>
        </w:rPr>
        <w:t xml:space="preserve">Do not fill out this section if the customer has supplied RVTools output; link to the RVTools output from here.</w:t>
      </w:r>
      <w:r w:rsidDel="00000000" w:rsidR="00000000" w:rsidRPr="00000000">
        <w:rPr>
          <w:sz w:val="20"/>
          <w:szCs w:val="20"/>
          <w:rtl w:val="0"/>
        </w:rPr>
        <w:t xml:space="preserve">  </w:t>
      </w:r>
      <w:r w:rsidDel="00000000" w:rsidR="00000000" w:rsidRPr="00000000">
        <w:rPr>
          <w:b w:val="1"/>
          <w:sz w:val="20"/>
          <w:szCs w:val="20"/>
          <w:rtl w:val="0"/>
        </w:rPr>
        <w:t xml:space="preserve">Keep in mind, this is only an approximation as a more detailed analysis will happen during the VMA.</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widowControl w:val="0"/>
        <w:rPr>
          <w:sz w:val="20"/>
          <w:szCs w:val="20"/>
        </w:rPr>
      </w:pPr>
      <w:r w:rsidDel="00000000" w:rsidR="00000000" w:rsidRPr="00000000">
        <w:rPr>
          <w:i w:val="1"/>
          <w:sz w:val="20"/>
          <w:szCs w:val="20"/>
          <w:rtl w:val="0"/>
        </w:rPr>
        <w:t xml:space="preserve">Most software vendors only certify to the operating system (see </w:t>
      </w:r>
      <w:hyperlink r:id="rId7">
        <w:r w:rsidDel="00000000" w:rsidR="00000000" w:rsidRPr="00000000">
          <w:rPr>
            <w:i w:val="1"/>
            <w:color w:val="1155cc"/>
            <w:sz w:val="20"/>
            <w:szCs w:val="20"/>
            <w:u w:val="single"/>
            <w:rtl w:val="0"/>
          </w:rPr>
          <w:t xml:space="preserve">Supported Guest Operating Systems</w:t>
        </w:r>
      </w:hyperlink>
      <w:r w:rsidDel="00000000" w:rsidR="00000000" w:rsidRPr="00000000">
        <w:rPr>
          <w:i w:val="1"/>
          <w:sz w:val="20"/>
          <w:szCs w:val="20"/>
          <w:rtl w:val="0"/>
        </w:rPr>
        <w:t xml:space="preserve">).</w:t>
      </w:r>
      <w:r w:rsidDel="00000000" w:rsidR="00000000" w:rsidRPr="00000000">
        <w:rPr>
          <w:i w:val="1"/>
          <w:sz w:val="20"/>
          <w:szCs w:val="20"/>
          <w:rtl w:val="0"/>
        </w:rPr>
        <w:t xml:space="preserve"> However, some vendors do require specific hypervisors as well.  In some cases, support for KVM will apply to OpenShift Virtualization as it is based on KVM. Please check with the software vendor for more information.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2"/>
        <w:tblW w:w="10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88.000000000001"/>
        <w:gridCol w:w="3836.999999999999"/>
        <w:tblGridChange w:id="0">
          <w:tblGrid>
            <w:gridCol w:w="6888.000000000001"/>
            <w:gridCol w:w="3836.999999999999"/>
          </w:tblGrid>
        </w:tblGridChange>
      </w:tblGrid>
      <w:tr>
        <w:trPr>
          <w:cantSplit w:val="0"/>
          <w:trHeight w:val="331.3636363636364" w:hRule="atLeast"/>
          <w:tblHeader w:val="0"/>
        </w:trPr>
        <w:tc>
          <w:tcPr>
            <w:gridSpan w:val="2"/>
            <w:shd w:fill="be0000" w:val="clear"/>
            <w:tcMar>
              <w:top w:w="100.0" w:type="dxa"/>
              <w:left w:w="100.0" w:type="dxa"/>
              <w:bottom w:w="100.0" w:type="dxa"/>
              <w:right w:w="100.0" w:type="dxa"/>
            </w:tcMar>
            <w:vAlign w:val="top"/>
          </w:tcPr>
          <w:p w:rsidR="00000000" w:rsidDel="00000000" w:rsidP="00000000" w:rsidRDefault="00000000" w:rsidRPr="00000000" w14:paraId="0000002B">
            <w:pPr>
              <w:widowControl w:val="0"/>
              <w:ind w:right="2730"/>
              <w:rPr>
                <w:b w:val="1"/>
                <w:color w:val="ffffff"/>
                <w:sz w:val="20"/>
                <w:szCs w:val="20"/>
              </w:rPr>
            </w:pPr>
            <w:r w:rsidDel="00000000" w:rsidR="00000000" w:rsidRPr="00000000">
              <w:rPr>
                <w:b w:val="1"/>
                <w:color w:val="ffffff"/>
                <w:sz w:val="20"/>
                <w:szCs w:val="20"/>
                <w:rtl w:val="0"/>
              </w:rPr>
              <w:t xml:space="preserve">Operating Systems</w:t>
            </w:r>
          </w:p>
        </w:tc>
      </w:tr>
      <w:tr>
        <w:trPr>
          <w:cantSplit w:val="0"/>
          <w:trHeight w:val="331.3636363636364" w:hRule="atLeast"/>
          <w:tblHeader w:val="0"/>
        </w:trPr>
        <w:tc>
          <w:tcPr>
            <w:shd w:fill="ffffff" w:val="clear"/>
            <w:tcMar>
              <w:top w:w="0.0" w:type="dxa"/>
              <w:left w:w="40.0" w:type="dxa"/>
              <w:bottom w:w="0.0" w:type="dxa"/>
              <w:right w:w="40.0" w:type="dxa"/>
            </w:tcMar>
            <w:vAlign w:val="center"/>
          </w:tcPr>
          <w:p w:rsidR="00000000" w:rsidDel="00000000" w:rsidP="00000000" w:rsidRDefault="00000000" w:rsidRPr="00000000" w14:paraId="0000002D">
            <w:pPr>
              <w:widowControl w:val="0"/>
              <w:spacing w:line="276" w:lineRule="auto"/>
              <w:rPr>
                <w:sz w:val="20"/>
                <w:szCs w:val="20"/>
              </w:rPr>
            </w:pPr>
            <w:r w:rsidDel="00000000" w:rsidR="00000000" w:rsidRPr="00000000">
              <w:rPr>
                <w:sz w:val="20"/>
                <w:szCs w:val="20"/>
                <w:rtl w:val="0"/>
              </w:rPr>
              <w:t xml:space="preserve">What's the approximate percentage of VMs running WINDOWS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right="2895"/>
              <w:rPr>
                <w:sz w:val="20"/>
                <w:szCs w:val="20"/>
              </w:rPr>
            </w:pPr>
            <w:r w:rsidDel="00000000" w:rsidR="00000000" w:rsidRPr="00000000">
              <w:rPr>
                <w:rtl w:val="0"/>
              </w:rPr>
            </w:r>
          </w:p>
        </w:tc>
      </w:tr>
      <w:tr>
        <w:trPr>
          <w:cantSplit w:val="0"/>
          <w:trHeight w:val="331.3636363636364" w:hRule="atLeast"/>
          <w:tblHeader w:val="0"/>
        </w:trPr>
        <w:tc>
          <w:tcPr>
            <w:tcMar>
              <w:top w:w="0.0" w:type="dxa"/>
              <w:left w:w="40.0" w:type="dxa"/>
              <w:bottom w:w="0.0" w:type="dxa"/>
              <w:right w:w="40.0" w:type="dxa"/>
            </w:tcMar>
            <w:vAlign w:val="center"/>
          </w:tcPr>
          <w:p w:rsidR="00000000" w:rsidDel="00000000" w:rsidP="00000000" w:rsidRDefault="00000000" w:rsidRPr="00000000" w14:paraId="0000002F">
            <w:pPr>
              <w:widowControl w:val="0"/>
              <w:spacing w:line="276" w:lineRule="auto"/>
              <w:rPr>
                <w:sz w:val="20"/>
                <w:szCs w:val="20"/>
              </w:rPr>
            </w:pPr>
            <w:r w:rsidDel="00000000" w:rsidR="00000000" w:rsidRPr="00000000">
              <w:rPr>
                <w:sz w:val="20"/>
                <w:szCs w:val="20"/>
                <w:rtl w:val="0"/>
              </w:rPr>
              <w:t xml:space="preserve">What's the approximate percentage of VMs running RHEL?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right="2895"/>
              <w:rPr>
                <w:sz w:val="20"/>
                <w:szCs w:val="20"/>
              </w:rPr>
            </w:pPr>
            <w:r w:rsidDel="00000000" w:rsidR="00000000" w:rsidRPr="00000000">
              <w:rPr>
                <w:rtl w:val="0"/>
              </w:rPr>
            </w:r>
          </w:p>
        </w:tc>
      </w:tr>
      <w:tr>
        <w:trPr>
          <w:cantSplit w:val="0"/>
          <w:trHeight w:val="331.3636363636364" w:hRule="atLeast"/>
          <w:tblHeader w:val="0"/>
        </w:trPr>
        <w:tc>
          <w:tcPr>
            <w:shd w:fill="ffffff" w:val="clear"/>
            <w:tcMar>
              <w:top w:w="0.0" w:type="dxa"/>
              <w:left w:w="40.0" w:type="dxa"/>
              <w:bottom w:w="0.0" w:type="dxa"/>
              <w:right w:w="40.0" w:type="dxa"/>
            </w:tcMar>
            <w:vAlign w:val="center"/>
          </w:tcPr>
          <w:p w:rsidR="00000000" w:rsidDel="00000000" w:rsidP="00000000" w:rsidRDefault="00000000" w:rsidRPr="00000000" w14:paraId="00000031">
            <w:pPr>
              <w:widowControl w:val="0"/>
              <w:spacing w:line="276" w:lineRule="auto"/>
              <w:rPr>
                <w:sz w:val="20"/>
                <w:szCs w:val="20"/>
              </w:rPr>
            </w:pPr>
            <w:r w:rsidDel="00000000" w:rsidR="00000000" w:rsidRPr="00000000">
              <w:rPr>
                <w:sz w:val="20"/>
                <w:szCs w:val="20"/>
                <w:rtl w:val="0"/>
              </w:rPr>
              <w:t xml:space="preserve">What's the approximate percentage of VMs running Debian/Ubuntu?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right="2895"/>
              <w:rPr>
                <w:sz w:val="20"/>
                <w:szCs w:val="20"/>
              </w:rPr>
            </w:pPr>
            <w:r w:rsidDel="00000000" w:rsidR="00000000" w:rsidRPr="00000000">
              <w:rPr>
                <w:rtl w:val="0"/>
              </w:rPr>
            </w:r>
          </w:p>
        </w:tc>
      </w:tr>
      <w:tr>
        <w:trPr>
          <w:cantSplit w:val="0"/>
          <w:trHeight w:val="331.3636363636364" w:hRule="atLeast"/>
          <w:tblHeader w:val="0"/>
        </w:trPr>
        <w:tc>
          <w:tcPr>
            <w:tcMar>
              <w:top w:w="0.0" w:type="dxa"/>
              <w:left w:w="40.0" w:type="dxa"/>
              <w:bottom w:w="0.0" w:type="dxa"/>
              <w:right w:w="40.0" w:type="dxa"/>
            </w:tcMar>
            <w:vAlign w:val="center"/>
          </w:tcPr>
          <w:p w:rsidR="00000000" w:rsidDel="00000000" w:rsidP="00000000" w:rsidRDefault="00000000" w:rsidRPr="00000000" w14:paraId="00000033">
            <w:pPr>
              <w:widowControl w:val="0"/>
              <w:spacing w:line="276" w:lineRule="auto"/>
              <w:rPr>
                <w:sz w:val="20"/>
                <w:szCs w:val="20"/>
              </w:rPr>
            </w:pPr>
            <w:r w:rsidDel="00000000" w:rsidR="00000000" w:rsidRPr="00000000">
              <w:rPr>
                <w:sz w:val="20"/>
                <w:szCs w:val="20"/>
                <w:rtl w:val="0"/>
              </w:rPr>
              <w:t xml:space="preserve">What's the approximate percentage of VMs running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right="2895"/>
              <w:rPr>
                <w:sz w:val="20"/>
                <w:szCs w:val="20"/>
              </w:rPr>
            </w:pPr>
            <w:r w:rsidDel="00000000" w:rsidR="00000000" w:rsidRPr="00000000">
              <w:rPr>
                <w:rtl w:val="0"/>
              </w:rPr>
            </w:r>
          </w:p>
        </w:tc>
      </w:tr>
    </w:tbl>
    <w:p w:rsidR="00000000" w:rsidDel="00000000" w:rsidP="00000000" w:rsidRDefault="00000000" w:rsidRPr="00000000" w14:paraId="00000035">
      <w:pPr>
        <w:pStyle w:val="Heading1"/>
        <w:rPr/>
      </w:pPr>
      <w:bookmarkStart w:colFirst="0" w:colLast="0" w:name="_xkc9f2dx85wi" w:id="7"/>
      <w:bookmarkEnd w:id="7"/>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pStyle w:val="Heading2"/>
        <w:rPr>
          <w:sz w:val="22"/>
          <w:szCs w:val="22"/>
        </w:rPr>
      </w:pPr>
      <w:bookmarkStart w:colFirst="0" w:colLast="0" w:name="_o3rvd7olagx2" w:id="8"/>
      <w:bookmarkEnd w:id="8"/>
      <w:r w:rsidDel="00000000" w:rsidR="00000000" w:rsidRPr="00000000">
        <w:rPr>
          <w:sz w:val="22"/>
          <w:szCs w:val="22"/>
          <w:rtl w:val="0"/>
        </w:rPr>
        <w:t xml:space="preserve">Current State Environment - </w:t>
      </w:r>
      <w:r w:rsidDel="00000000" w:rsidR="00000000" w:rsidRPr="00000000">
        <w:rPr>
          <w:sz w:val="22"/>
          <w:szCs w:val="22"/>
          <w:rtl w:val="0"/>
        </w:rPr>
        <w:t xml:space="preserve">Products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In this section we want to explore the products the customer has acquired from VMware as well as any other third party vendor which may be needed for a complete virtualization solution.</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Tip:</w:t>
      </w:r>
      <w:r w:rsidDel="00000000" w:rsidR="00000000" w:rsidRPr="00000000">
        <w:rPr>
          <w:sz w:val="20"/>
          <w:szCs w:val="20"/>
          <w:rtl w:val="0"/>
        </w:rPr>
        <w:t xml:space="preserve"> Check VMware current bundles here (Slide 5) as some are discontinued </w:t>
      </w:r>
      <w:hyperlink r:id="rId8">
        <w:r w:rsidDel="00000000" w:rsidR="00000000" w:rsidRPr="00000000">
          <w:rPr>
            <w:color w:val="0000ee"/>
            <w:sz w:val="20"/>
            <w:szCs w:val="20"/>
            <w:u w:val="single"/>
            <w:rtl w:val="0"/>
          </w:rPr>
          <w:t xml:space="preserve">2-5-25-Allen-Oh-15-Minute-Competitive-OVE-OpenShift-BM-to-VMware</w:t>
        </w:r>
      </w:hyperlink>
      <w:r w:rsidDel="00000000" w:rsidR="00000000" w:rsidRPr="00000000">
        <w:rPr>
          <w:sz w:val="20"/>
          <w:szCs w:val="20"/>
          <w:rtl w:val="0"/>
        </w:rPr>
        <w:tab/>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Tip:</w:t>
      </w:r>
      <w:r w:rsidDel="00000000" w:rsidR="00000000" w:rsidRPr="00000000">
        <w:rPr>
          <w:sz w:val="20"/>
          <w:szCs w:val="20"/>
          <w:rtl w:val="0"/>
        </w:rPr>
        <w:t xml:space="preserve"> Check OpenShift Virtualization Partner Assessment </w:t>
      </w:r>
      <w:hyperlink r:id="rId9">
        <w:r w:rsidDel="00000000" w:rsidR="00000000" w:rsidRPr="00000000">
          <w:rPr>
            <w:color w:val="1155cc"/>
            <w:sz w:val="20"/>
            <w:szCs w:val="20"/>
            <w:u w:val="single"/>
            <w:rtl w:val="0"/>
          </w:rPr>
          <w:t xml:space="preserve">Dashboard</w:t>
        </w:r>
      </w:hyperlink>
      <w:r w:rsidDel="00000000" w:rsidR="00000000" w:rsidRPr="00000000">
        <w:rPr>
          <w:sz w:val="20"/>
          <w:szCs w:val="20"/>
          <w:rtl w:val="0"/>
        </w:rPr>
        <w:t xml:space="preserve"> for updated information </w:t>
      </w: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2705"/>
        <w:gridCol w:w="5425.000000000001"/>
        <w:tblGridChange w:id="0">
          <w:tblGrid>
            <w:gridCol w:w="2670"/>
            <w:gridCol w:w="2705"/>
            <w:gridCol w:w="5425.000000000001"/>
          </w:tblGrid>
        </w:tblGridChange>
      </w:tblGrid>
      <w:tr>
        <w:trPr>
          <w:cantSplit w:val="0"/>
          <w:tblHeader w:val="0"/>
        </w:trPr>
        <w:tc>
          <w:tcPr>
            <w:shd w:fill="be0000" w:val="clear"/>
            <w:tcMar>
              <w:top w:w="100.0" w:type="dxa"/>
              <w:left w:w="100.0" w:type="dxa"/>
              <w:bottom w:w="100.0" w:type="dxa"/>
              <w:right w:w="100.0" w:type="dxa"/>
            </w:tcMar>
            <w:vAlign w:val="top"/>
          </w:tcPr>
          <w:p w:rsidR="00000000" w:rsidDel="00000000" w:rsidP="00000000" w:rsidRDefault="00000000" w:rsidRPr="00000000" w14:paraId="00000041">
            <w:pPr>
              <w:widowControl w:val="0"/>
              <w:rPr>
                <w:b w:val="1"/>
                <w:color w:val="ffffff"/>
                <w:sz w:val="20"/>
                <w:szCs w:val="20"/>
              </w:rPr>
            </w:pPr>
            <w:r w:rsidDel="00000000" w:rsidR="00000000" w:rsidRPr="00000000">
              <w:rPr>
                <w:b w:val="1"/>
                <w:color w:val="ffffff"/>
                <w:sz w:val="20"/>
                <w:szCs w:val="20"/>
                <w:rtl w:val="0"/>
              </w:rPr>
              <w:t xml:space="preserve">Question</w:t>
            </w:r>
          </w:p>
        </w:tc>
        <w:tc>
          <w:tcPr>
            <w:shd w:fill="be0000" w:val="clear"/>
            <w:tcMar>
              <w:top w:w="100.0" w:type="dxa"/>
              <w:left w:w="100.0" w:type="dxa"/>
              <w:bottom w:w="100.0" w:type="dxa"/>
              <w:right w:w="100.0" w:type="dxa"/>
            </w:tcMar>
            <w:vAlign w:val="top"/>
          </w:tcPr>
          <w:p w:rsidR="00000000" w:rsidDel="00000000" w:rsidP="00000000" w:rsidRDefault="00000000" w:rsidRPr="00000000" w14:paraId="00000042">
            <w:pPr>
              <w:widowControl w:val="0"/>
              <w:rPr>
                <w:b w:val="1"/>
                <w:color w:val="ffffff"/>
                <w:sz w:val="20"/>
                <w:szCs w:val="20"/>
              </w:rPr>
            </w:pPr>
            <w:r w:rsidDel="00000000" w:rsidR="00000000" w:rsidRPr="00000000">
              <w:rPr>
                <w:b w:val="1"/>
                <w:color w:val="ffffff"/>
                <w:sz w:val="20"/>
                <w:szCs w:val="20"/>
                <w:rtl w:val="0"/>
              </w:rPr>
              <w:t xml:space="preserve">Components / Features</w:t>
            </w:r>
          </w:p>
        </w:tc>
        <w:tc>
          <w:tcPr>
            <w:shd w:fill="be0000" w:val="clear"/>
            <w:tcMar>
              <w:top w:w="100.0" w:type="dxa"/>
              <w:left w:w="100.0" w:type="dxa"/>
              <w:bottom w:w="100.0" w:type="dxa"/>
              <w:right w:w="100.0" w:type="dxa"/>
            </w:tcMar>
            <w:vAlign w:val="top"/>
          </w:tcPr>
          <w:p w:rsidR="00000000" w:rsidDel="00000000" w:rsidP="00000000" w:rsidRDefault="00000000" w:rsidRPr="00000000" w14:paraId="00000043">
            <w:pPr>
              <w:widowControl w:val="0"/>
              <w:rPr>
                <w:b w:val="1"/>
                <w:color w:val="ffffff"/>
                <w:sz w:val="20"/>
                <w:szCs w:val="20"/>
              </w:rPr>
            </w:pPr>
            <w:r w:rsidDel="00000000" w:rsidR="00000000" w:rsidRPr="00000000">
              <w:rPr>
                <w:b w:val="1"/>
                <w:color w:val="ffffff"/>
                <w:sz w:val="20"/>
                <w:szCs w:val="20"/>
                <w:rtl w:val="0"/>
              </w:rPr>
              <w:t xml:space="preserve">Considerations</w:t>
            </w:r>
          </w:p>
        </w:tc>
      </w:tr>
      <w:tr>
        <w:trPr>
          <w:cantSplit w:val="0"/>
          <w:trHeight w:val="130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b w:val="1"/>
                <w:sz w:val="20"/>
                <w:szCs w:val="20"/>
              </w:rPr>
            </w:pPr>
            <w:r w:rsidDel="00000000" w:rsidR="00000000" w:rsidRPr="00000000">
              <w:rPr>
                <w:b w:val="1"/>
                <w:sz w:val="20"/>
                <w:szCs w:val="20"/>
                <w:rtl w:val="0"/>
              </w:rPr>
              <w:t xml:space="preserve">VMware Products Used?</w:t>
            </w:r>
          </w:p>
          <w:p w:rsidR="00000000" w:rsidDel="00000000" w:rsidP="00000000" w:rsidRDefault="00000000" w:rsidRPr="00000000" w14:paraId="00000045">
            <w:pPr>
              <w:widowControl w:val="0"/>
              <w:rPr>
                <w:sz w:val="20"/>
                <w:szCs w:val="20"/>
              </w:rPr>
            </w:pPr>
            <w:r w:rsidDel="00000000" w:rsidR="00000000" w:rsidRPr="00000000">
              <w:rPr>
                <w:rtl w:val="0"/>
              </w:rPr>
            </w:r>
          </w:p>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List products owned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vSphere edition(s)/version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i w:val="1"/>
                <w:sz w:val="20"/>
                <w:szCs w:val="20"/>
              </w:rPr>
            </w:pPr>
            <w:r w:rsidDel="00000000" w:rsidR="00000000" w:rsidRPr="00000000">
              <w:rPr>
                <w:i w:val="1"/>
                <w:sz w:val="20"/>
                <w:szCs w:val="20"/>
                <w:rtl w:val="0"/>
              </w:rPr>
              <w:t xml:space="preserve">Older VMware versions may not be supported by MTV impacting the ability to use our migration tooling.  Please reference the </w:t>
            </w:r>
            <w:hyperlink r:id="rId10">
              <w:r w:rsidDel="00000000" w:rsidR="00000000" w:rsidRPr="00000000">
                <w:rPr>
                  <w:i w:val="1"/>
                  <w:color w:val="1155cc"/>
                  <w:sz w:val="20"/>
                  <w:szCs w:val="20"/>
                  <w:u w:val="single"/>
                  <w:rtl w:val="0"/>
                </w:rPr>
                <w:t xml:space="preserve">MTV prerequisites</w:t>
              </w:r>
            </w:hyperlink>
            <w:r w:rsidDel="00000000" w:rsidR="00000000" w:rsidRPr="00000000">
              <w:rPr>
                <w:i w:val="1"/>
                <w:sz w:val="20"/>
                <w:szCs w:val="20"/>
                <w:rtl w:val="0"/>
              </w:rPr>
              <w:t xml:space="preserve"> for compatible versions and required privileges. </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40" w:lineRule="auto"/>
              <w:ind w:left="0" w:firstLine="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NSX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i w:val="1"/>
                <w:sz w:val="20"/>
                <w:szCs w:val="20"/>
              </w:rPr>
            </w:pPr>
            <w:r w:rsidDel="00000000" w:rsidR="00000000" w:rsidRPr="00000000">
              <w:rPr>
                <w:i w:val="1"/>
                <w:sz w:val="20"/>
                <w:szCs w:val="20"/>
                <w:rtl w:val="0"/>
              </w:rPr>
              <w:t xml:space="preserve">NSX features beyond microsegmentation may require a 3rd party networking plug-in. Check </w:t>
            </w:r>
            <w:hyperlink w:anchor="_cb5y84tudlio">
              <w:r w:rsidDel="00000000" w:rsidR="00000000" w:rsidRPr="00000000">
                <w:rPr>
                  <w:i w:val="1"/>
                  <w:color w:val="1155cc"/>
                  <w:sz w:val="20"/>
                  <w:szCs w:val="20"/>
                  <w:u w:val="single"/>
                  <w:rtl w:val="0"/>
                </w:rPr>
                <w:t xml:space="preserve">Networking</w:t>
              </w:r>
            </w:hyperlink>
            <w:r w:rsidDel="00000000" w:rsidR="00000000" w:rsidRPr="00000000">
              <w:rPr>
                <w:i w:val="1"/>
                <w:sz w:val="20"/>
                <w:szCs w:val="20"/>
                <w:rtl w:val="0"/>
              </w:rPr>
              <w:t xml:space="preserve"> section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ind w:left="0" w:firstLine="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 Aria Suite Enterprise (bundle)</w:t>
            </w:r>
          </w:p>
          <w:p w:rsidR="00000000" w:rsidDel="00000000" w:rsidP="00000000" w:rsidRDefault="00000000" w:rsidRPr="00000000" w14:paraId="0000004E">
            <w:pPr>
              <w:widowControl w:val="0"/>
              <w:numPr>
                <w:ilvl w:val="0"/>
                <w:numId w:val="2"/>
              </w:numPr>
              <w:ind w:left="720" w:hanging="360"/>
              <w:rPr>
                <w:sz w:val="20"/>
                <w:szCs w:val="20"/>
              </w:rPr>
            </w:pPr>
            <w:r w:rsidDel="00000000" w:rsidR="00000000" w:rsidRPr="00000000">
              <w:rPr>
                <w:sz w:val="20"/>
                <w:szCs w:val="20"/>
                <w:rtl w:val="0"/>
              </w:rPr>
              <w:t xml:space="preserve">Aria Automation</w:t>
            </w:r>
          </w:p>
          <w:p w:rsidR="00000000" w:rsidDel="00000000" w:rsidP="00000000" w:rsidRDefault="00000000" w:rsidRPr="00000000" w14:paraId="0000004F">
            <w:pPr>
              <w:widowControl w:val="0"/>
              <w:numPr>
                <w:ilvl w:val="0"/>
                <w:numId w:val="2"/>
              </w:numPr>
              <w:ind w:left="720" w:hanging="360"/>
              <w:rPr>
                <w:sz w:val="20"/>
                <w:szCs w:val="20"/>
              </w:rPr>
            </w:pPr>
            <w:r w:rsidDel="00000000" w:rsidR="00000000" w:rsidRPr="00000000">
              <w:rPr>
                <w:sz w:val="20"/>
                <w:szCs w:val="20"/>
                <w:rtl w:val="0"/>
              </w:rPr>
              <w:t xml:space="preserve">Aria Operations</w:t>
            </w:r>
          </w:p>
          <w:p w:rsidR="00000000" w:rsidDel="00000000" w:rsidP="00000000" w:rsidRDefault="00000000" w:rsidRPr="00000000" w14:paraId="00000050">
            <w:pPr>
              <w:widowControl w:val="0"/>
              <w:numPr>
                <w:ilvl w:val="0"/>
                <w:numId w:val="2"/>
              </w:numPr>
              <w:ind w:left="720" w:hanging="360"/>
              <w:rPr>
                <w:sz w:val="20"/>
                <w:szCs w:val="20"/>
              </w:rPr>
            </w:pPr>
            <w:r w:rsidDel="00000000" w:rsidR="00000000" w:rsidRPr="00000000">
              <w:rPr>
                <w:sz w:val="20"/>
                <w:szCs w:val="20"/>
                <w:rtl w:val="0"/>
              </w:rPr>
              <w:t xml:space="preserve">Aria Operations for Logs</w:t>
            </w:r>
          </w:p>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 Aria Automation Orchestrator and Aria Automation</w:t>
            </w:r>
          </w:p>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 SaltStack / Aria Automation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i w:val="1"/>
                <w:sz w:val="20"/>
                <w:szCs w:val="20"/>
              </w:rPr>
            </w:pPr>
            <w:r w:rsidDel="00000000" w:rsidR="00000000" w:rsidRPr="00000000">
              <w:rPr>
                <w:i w:val="1"/>
                <w:sz w:val="20"/>
                <w:szCs w:val="20"/>
                <w:rtl w:val="0"/>
              </w:rPr>
              <w:t xml:space="preserve">For Aria Suite Enterprise: No equivalent bundle</w:t>
            </w:r>
          </w:p>
          <w:p w:rsidR="00000000" w:rsidDel="00000000" w:rsidP="00000000" w:rsidRDefault="00000000" w:rsidRPr="00000000" w14:paraId="00000054">
            <w:pPr>
              <w:widowControl w:val="0"/>
              <w:numPr>
                <w:ilvl w:val="0"/>
                <w:numId w:val="3"/>
              </w:numPr>
              <w:ind w:left="720" w:hanging="360"/>
              <w:rPr>
                <w:i w:val="1"/>
                <w:sz w:val="20"/>
                <w:szCs w:val="20"/>
              </w:rPr>
            </w:pPr>
            <w:r w:rsidDel="00000000" w:rsidR="00000000" w:rsidRPr="00000000">
              <w:rPr>
                <w:i w:val="1"/>
                <w:sz w:val="20"/>
                <w:szCs w:val="20"/>
                <w:rtl w:val="0"/>
              </w:rPr>
              <w:t xml:space="preserve">Approximately Ansible</w:t>
            </w:r>
          </w:p>
          <w:p w:rsidR="00000000" w:rsidDel="00000000" w:rsidP="00000000" w:rsidRDefault="00000000" w:rsidRPr="00000000" w14:paraId="00000055">
            <w:pPr>
              <w:widowControl w:val="0"/>
              <w:numPr>
                <w:ilvl w:val="0"/>
                <w:numId w:val="3"/>
              </w:numPr>
              <w:ind w:left="720" w:hanging="360"/>
              <w:rPr>
                <w:i w:val="1"/>
                <w:sz w:val="20"/>
                <w:szCs w:val="20"/>
              </w:rPr>
            </w:pPr>
            <w:r w:rsidDel="00000000" w:rsidR="00000000" w:rsidRPr="00000000">
              <w:rPr>
                <w:i w:val="1"/>
                <w:sz w:val="20"/>
                <w:szCs w:val="20"/>
                <w:rtl w:val="0"/>
              </w:rPr>
              <w:t xml:space="preserve">No equivalent</w:t>
            </w:r>
          </w:p>
          <w:p w:rsidR="00000000" w:rsidDel="00000000" w:rsidP="00000000" w:rsidRDefault="00000000" w:rsidRPr="00000000" w14:paraId="00000056">
            <w:pPr>
              <w:widowControl w:val="0"/>
              <w:numPr>
                <w:ilvl w:val="0"/>
                <w:numId w:val="3"/>
              </w:numPr>
              <w:ind w:left="720" w:hanging="360"/>
              <w:rPr>
                <w:i w:val="1"/>
                <w:sz w:val="20"/>
                <w:szCs w:val="20"/>
              </w:rPr>
            </w:pPr>
            <w:r w:rsidDel="00000000" w:rsidR="00000000" w:rsidRPr="00000000">
              <w:rPr>
                <w:i w:val="1"/>
                <w:sz w:val="20"/>
                <w:szCs w:val="20"/>
                <w:rtl w:val="0"/>
              </w:rPr>
              <w:t xml:space="preserve">No equivalent</w:t>
            </w:r>
          </w:p>
          <w:p w:rsidR="00000000" w:rsidDel="00000000" w:rsidP="00000000" w:rsidRDefault="00000000" w:rsidRPr="00000000" w14:paraId="00000057">
            <w:pPr>
              <w:widowControl w:val="0"/>
              <w:rPr>
                <w:i w:val="1"/>
                <w:sz w:val="20"/>
                <w:szCs w:val="20"/>
              </w:rPr>
            </w:pPr>
            <w:r w:rsidDel="00000000" w:rsidR="00000000" w:rsidRPr="00000000">
              <w:rPr>
                <w:i w:val="1"/>
                <w:sz w:val="20"/>
                <w:szCs w:val="20"/>
                <w:rtl w:val="0"/>
              </w:rPr>
              <w:t xml:space="preserve">Some functionality exists in OpenShift Logging and ACM. Important to explore the use cases</w:t>
            </w:r>
          </w:p>
          <w:p w:rsidR="00000000" w:rsidDel="00000000" w:rsidP="00000000" w:rsidRDefault="00000000" w:rsidRPr="00000000" w14:paraId="00000058">
            <w:pPr>
              <w:widowControl w:val="0"/>
              <w:rPr>
                <w:i w:val="1"/>
                <w:sz w:val="20"/>
                <w:szCs w:val="20"/>
              </w:rPr>
            </w:pPr>
            <w:r w:rsidDel="00000000" w:rsidR="00000000" w:rsidRPr="00000000">
              <w:rPr>
                <w:rtl w:val="0"/>
              </w:rPr>
            </w:r>
          </w:p>
          <w:p w:rsidR="00000000" w:rsidDel="00000000" w:rsidP="00000000" w:rsidRDefault="00000000" w:rsidRPr="00000000" w14:paraId="00000059">
            <w:pPr>
              <w:widowControl w:val="0"/>
              <w:rPr>
                <w:i w:val="1"/>
                <w:sz w:val="20"/>
                <w:szCs w:val="20"/>
              </w:rPr>
            </w:pPr>
            <w:r w:rsidDel="00000000" w:rsidR="00000000" w:rsidRPr="00000000">
              <w:rPr>
                <w:i w:val="1"/>
                <w:sz w:val="20"/>
                <w:szCs w:val="20"/>
                <w:rtl w:val="0"/>
              </w:rPr>
              <w:t xml:space="preserve">For the others, there are possible solutions using ACM, Ansible, Pipelines and GitOps</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ind w:left="0" w:firstLine="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SRM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i w:val="1"/>
                <w:sz w:val="20"/>
                <w:szCs w:val="20"/>
              </w:rPr>
            </w:pPr>
            <w:r w:rsidDel="00000000" w:rsidR="00000000" w:rsidRPr="00000000">
              <w:rPr>
                <w:i w:val="1"/>
                <w:sz w:val="20"/>
                <w:szCs w:val="20"/>
                <w:rtl w:val="0"/>
              </w:rPr>
              <w:t xml:space="preserve">SRM-like features require 3rd party integrations</w:t>
            </w:r>
          </w:p>
          <w:p w:rsidR="00000000" w:rsidDel="00000000" w:rsidP="00000000" w:rsidRDefault="00000000" w:rsidRPr="00000000" w14:paraId="0000005D">
            <w:pPr>
              <w:widowControl w:val="0"/>
              <w:rPr>
                <w:i w:val="1"/>
                <w:sz w:val="20"/>
                <w:szCs w:val="20"/>
              </w:rPr>
            </w:pPr>
            <w:r w:rsidDel="00000000" w:rsidR="00000000" w:rsidRPr="00000000">
              <w:rPr>
                <w:i w:val="1"/>
                <w:sz w:val="20"/>
                <w:szCs w:val="20"/>
                <w:rtl w:val="0"/>
              </w:rPr>
              <w:t xml:space="preserve">Refer to the </w:t>
            </w:r>
            <w:hyperlink r:id="rId11">
              <w:r w:rsidDel="00000000" w:rsidR="00000000" w:rsidRPr="00000000">
                <w:rPr>
                  <w:i w:val="1"/>
                  <w:color w:val="1155cc"/>
                  <w:sz w:val="20"/>
                  <w:szCs w:val="20"/>
                  <w:u w:val="single"/>
                  <w:rtl w:val="0"/>
                </w:rPr>
                <w:t xml:space="preserve">OpenShift Disaster Recovery Guide</w:t>
              </w:r>
            </w:hyperlink>
            <w:r w:rsidDel="00000000" w:rsidR="00000000" w:rsidRPr="00000000">
              <w:rPr>
                <w:i w:val="1"/>
                <w:sz w:val="20"/>
                <w:szCs w:val="20"/>
                <w:rtl w:val="0"/>
              </w:rPr>
              <w:t xml:space="preserve"> for more information</w:t>
            </w:r>
          </w:p>
        </w:tc>
      </w:tr>
      <w:tr>
        <w:trPr>
          <w:cantSplit w:val="0"/>
          <w:trHeight w:val="948.841463414634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b w:val="1"/>
                <w:sz w:val="20"/>
                <w:szCs w:val="20"/>
              </w:rPr>
            </w:pPr>
            <w:r w:rsidDel="00000000" w:rsidR="00000000" w:rsidRPr="00000000">
              <w:rPr>
                <w:b w:val="1"/>
                <w:sz w:val="20"/>
                <w:szCs w:val="20"/>
                <w:rtl w:val="0"/>
              </w:rPr>
              <w:t xml:space="preserve">Incumbent Storage Vendor?</w:t>
            </w:r>
          </w:p>
          <w:p w:rsidR="00000000" w:rsidDel="00000000" w:rsidP="00000000" w:rsidRDefault="00000000" w:rsidRPr="00000000" w14:paraId="0000005F">
            <w:pPr>
              <w:widowControl w:val="0"/>
              <w:rPr>
                <w:sz w:val="20"/>
                <w:szCs w:val="20"/>
              </w:rPr>
            </w:pPr>
            <w:r w:rsidDel="00000000" w:rsidR="00000000" w:rsidRPr="00000000">
              <w:rPr>
                <w:rtl w:val="0"/>
              </w:rPr>
            </w:r>
          </w:p>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(Brand, product type, version, </w:t>
            </w:r>
            <w:r w:rsidDel="00000000" w:rsidR="00000000" w:rsidRPr="00000000">
              <w:rPr>
                <w:sz w:val="20"/>
                <w:szCs w:val="20"/>
                <w:rtl w:val="0"/>
              </w:rPr>
              <w:t xml:space="preserve">protocol, known </w:t>
            </w:r>
            <w:r w:rsidDel="00000000" w:rsidR="00000000" w:rsidRPr="00000000">
              <w:rPr>
                <w:sz w:val="20"/>
                <w:szCs w:val="20"/>
                <w:rtl w:val="0"/>
              </w:rPr>
              <w:t xml:space="preserve">storage array limitations – like number of LUNs)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i w:val="1"/>
                <w:sz w:val="20"/>
                <w:szCs w:val="20"/>
              </w:rPr>
            </w:pPr>
            <w:r w:rsidDel="00000000" w:rsidR="00000000" w:rsidRPr="00000000">
              <w:rPr>
                <w:i w:val="1"/>
                <w:sz w:val="20"/>
                <w:szCs w:val="20"/>
                <w:rtl w:val="0"/>
              </w:rPr>
              <w:t xml:space="preserve">OpenShift Virtualization requires a supported CSI driver, preferably explicitly tested for OpenShift Virtualization and not just OpenShift. Please reference </w:t>
            </w:r>
            <w:hyperlink r:id="rId12">
              <w:r w:rsidDel="00000000" w:rsidR="00000000" w:rsidRPr="00000000">
                <w:rPr>
                  <w:i w:val="1"/>
                  <w:color w:val="1155cc"/>
                  <w:sz w:val="20"/>
                  <w:szCs w:val="20"/>
                  <w:u w:val="single"/>
                  <w:rtl w:val="0"/>
                </w:rPr>
                <w:t xml:space="preserve">Ecosystem Catalog</w:t>
              </w:r>
            </w:hyperlink>
            <w:r w:rsidDel="00000000" w:rsidR="00000000" w:rsidRPr="00000000">
              <w:rPr>
                <w:i w:val="1"/>
                <w:sz w:val="20"/>
                <w:szCs w:val="20"/>
                <w:rtl w:val="0"/>
              </w:rPr>
              <w:t xml:space="preserve"> and/or confirm with your storage vendor, via documentation or directly, of the status of support and required versions. </w:t>
            </w:r>
            <w:r w:rsidDel="00000000" w:rsidR="00000000" w:rsidRPr="00000000">
              <w:rPr>
                <w:rtl w:val="0"/>
              </w:rPr>
            </w:r>
          </w:p>
        </w:tc>
      </w:tr>
      <w:tr>
        <w:trPr>
          <w:cantSplit w:val="0"/>
          <w:trHeight w:val="1143.475609756097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20"/>
                <w:szCs w:val="20"/>
              </w:rPr>
            </w:pPr>
            <w:r w:rsidDel="00000000" w:rsidR="00000000" w:rsidRPr="00000000">
              <w:rPr>
                <w:b w:val="1"/>
                <w:sz w:val="20"/>
                <w:szCs w:val="20"/>
                <w:rtl w:val="0"/>
              </w:rPr>
              <w:t xml:space="preserve">Incumbent Backup and Disaster Recovery Vendor(s)?</w:t>
            </w:r>
            <w:r w:rsidDel="00000000" w:rsidR="00000000" w:rsidRPr="00000000">
              <w:rPr>
                <w:sz w:val="20"/>
                <w:szCs w:val="20"/>
                <w:u w:val="single"/>
                <w:rtl w:val="0"/>
              </w:rPr>
              <w:br w:type="textWrapping"/>
            </w:r>
            <w:r w:rsidDel="00000000" w:rsidR="00000000" w:rsidRPr="00000000">
              <w:rPr>
                <w:sz w:val="20"/>
                <w:szCs w:val="20"/>
                <w:rtl w:val="0"/>
              </w:rPr>
              <w:br w:type="textWrapping"/>
              <w:t xml:space="preserve">(Brand, product type, version, do they support backup and DR of VMs specifically?)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i w:val="1"/>
                <w:sz w:val="20"/>
                <w:szCs w:val="20"/>
              </w:rPr>
            </w:pPr>
            <w:r w:rsidDel="00000000" w:rsidR="00000000" w:rsidRPr="00000000">
              <w:rPr>
                <w:i w:val="1"/>
                <w:sz w:val="20"/>
                <w:szCs w:val="20"/>
                <w:rtl w:val="0"/>
              </w:rPr>
              <w:t xml:space="preserve">Please reference </w:t>
            </w:r>
            <w:hyperlink r:id="rId13">
              <w:r w:rsidDel="00000000" w:rsidR="00000000" w:rsidRPr="00000000">
                <w:rPr>
                  <w:i w:val="1"/>
                  <w:color w:val="1155cc"/>
                  <w:sz w:val="20"/>
                  <w:szCs w:val="20"/>
                  <w:u w:val="single"/>
                  <w:rtl w:val="0"/>
                </w:rPr>
                <w:t xml:space="preserve">Ecosystem Catalog</w:t>
              </w:r>
            </w:hyperlink>
            <w:r w:rsidDel="00000000" w:rsidR="00000000" w:rsidRPr="00000000">
              <w:rPr>
                <w:i w:val="1"/>
                <w:sz w:val="20"/>
                <w:szCs w:val="20"/>
                <w:rtl w:val="0"/>
              </w:rPr>
              <w:t xml:space="preserve"> or contact the vendor directly for supported backup and DR options. </w:t>
            </w:r>
            <w:r w:rsidDel="00000000" w:rsidR="00000000" w:rsidRPr="00000000">
              <w:rPr>
                <w:rtl w:val="0"/>
              </w:rPr>
            </w:r>
          </w:p>
        </w:tc>
      </w:tr>
      <w:tr>
        <w:trPr>
          <w:cantSplit w:val="0"/>
          <w:trHeight w:val="1143.475609756097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b w:val="1"/>
                <w:sz w:val="20"/>
                <w:szCs w:val="20"/>
              </w:rPr>
            </w:pPr>
            <w:r w:rsidDel="00000000" w:rsidR="00000000" w:rsidRPr="00000000">
              <w:rPr>
                <w:b w:val="1"/>
                <w:sz w:val="20"/>
                <w:szCs w:val="20"/>
                <w:rtl w:val="0"/>
              </w:rPr>
              <w:t xml:space="preserve">Incumbent 3rd party </w:t>
            </w:r>
            <w:r w:rsidDel="00000000" w:rsidR="00000000" w:rsidRPr="00000000">
              <w:rPr>
                <w:b w:val="1"/>
                <w:sz w:val="20"/>
                <w:szCs w:val="20"/>
                <w:rtl w:val="0"/>
              </w:rPr>
              <w:t xml:space="preserve">network</w:t>
            </w:r>
            <w:r w:rsidDel="00000000" w:rsidR="00000000" w:rsidRPr="00000000">
              <w:rPr>
                <w:b w:val="1"/>
                <w:sz w:val="20"/>
                <w:szCs w:val="20"/>
                <w:rtl w:val="0"/>
              </w:rPr>
              <w:t xml:space="preserve"> vendor?</w:t>
            </w:r>
          </w:p>
          <w:p w:rsidR="00000000" w:rsidDel="00000000" w:rsidP="00000000" w:rsidRDefault="00000000" w:rsidRPr="00000000" w14:paraId="00000067">
            <w:pPr>
              <w:widowControl w:val="0"/>
              <w:rPr>
                <w:sz w:val="20"/>
                <w:szCs w:val="20"/>
              </w:rPr>
            </w:pPr>
            <w:r w:rsidDel="00000000" w:rsidR="00000000" w:rsidRPr="00000000">
              <w:rPr>
                <w:rtl w:val="0"/>
              </w:rPr>
            </w:r>
          </w:p>
          <w:p w:rsidR="00000000" w:rsidDel="00000000" w:rsidP="00000000" w:rsidRDefault="00000000" w:rsidRPr="00000000" w14:paraId="00000068">
            <w:pPr>
              <w:widowControl w:val="0"/>
              <w:rPr>
                <w:b w:val="1"/>
                <w:sz w:val="20"/>
                <w:szCs w:val="20"/>
              </w:rPr>
            </w:pPr>
            <w:r w:rsidDel="00000000" w:rsidR="00000000" w:rsidRPr="00000000">
              <w:rPr>
                <w:sz w:val="20"/>
                <w:szCs w:val="20"/>
                <w:rtl w:val="0"/>
              </w:rPr>
              <w:t xml:space="preserve">(Routers, switches, load balancers, firewalls, DNS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i w:val="1"/>
                <w:sz w:val="20"/>
                <w:szCs w:val="20"/>
              </w:rPr>
            </w:pPr>
            <w:r w:rsidDel="00000000" w:rsidR="00000000" w:rsidRPr="00000000">
              <w:rPr>
                <w:i w:val="1"/>
                <w:sz w:val="20"/>
                <w:szCs w:val="20"/>
                <w:rtl w:val="0"/>
              </w:rPr>
              <w:t xml:space="preserve">If using a software defined networking solution, it will require a supported CNI driver to integrate with OpenShift. Please reference </w:t>
            </w:r>
            <w:hyperlink r:id="rId14">
              <w:r w:rsidDel="00000000" w:rsidR="00000000" w:rsidRPr="00000000">
                <w:rPr>
                  <w:i w:val="1"/>
                  <w:color w:val="1155cc"/>
                  <w:sz w:val="20"/>
                  <w:szCs w:val="20"/>
                  <w:u w:val="single"/>
                  <w:rtl w:val="0"/>
                </w:rPr>
                <w:t xml:space="preserve">Ecosystem Catalog</w:t>
              </w:r>
            </w:hyperlink>
            <w:r w:rsidDel="00000000" w:rsidR="00000000" w:rsidRPr="00000000">
              <w:rPr>
                <w:i w:val="1"/>
                <w:sz w:val="20"/>
                <w:szCs w:val="20"/>
                <w:rtl w:val="0"/>
              </w:rPr>
              <w:t xml:space="preserve"> for supported SDNs</w:t>
            </w:r>
            <w:r w:rsidDel="00000000" w:rsidR="00000000" w:rsidRPr="00000000">
              <w:rPr>
                <w:i w:val="1"/>
                <w:sz w:val="20"/>
                <w:szCs w:val="20"/>
                <w:rtl w:val="0"/>
              </w:rPr>
              <w:t xml:space="preserve"> or contact the vendor directly.</w:t>
            </w:r>
            <w:r w:rsidDel="00000000" w:rsidR="00000000" w:rsidRPr="00000000">
              <w:rPr>
                <w:rtl w:val="0"/>
              </w:rPr>
            </w:r>
          </w:p>
        </w:tc>
      </w:tr>
      <w:tr>
        <w:trPr>
          <w:cantSplit w:val="0"/>
          <w:trHeight w:val="754.207317073170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0"/>
                <w:szCs w:val="20"/>
              </w:rPr>
            </w:pPr>
            <w:r w:rsidDel="00000000" w:rsidR="00000000" w:rsidRPr="00000000">
              <w:rPr>
                <w:b w:val="1"/>
                <w:sz w:val="20"/>
                <w:szCs w:val="20"/>
                <w:rtl w:val="0"/>
              </w:rPr>
              <w:t xml:space="preserve">Target Hardware for Installation?</w:t>
            </w:r>
            <w:r w:rsidDel="00000000" w:rsidR="00000000" w:rsidRPr="00000000">
              <w:rPr>
                <w:sz w:val="20"/>
                <w:szCs w:val="20"/>
                <w:u w:val="single"/>
                <w:rtl w:val="0"/>
              </w:rPr>
              <w:br w:type="textWrapping"/>
              <w:br w:type="textWrapping"/>
            </w:r>
            <w:r w:rsidDel="00000000" w:rsidR="00000000" w:rsidRPr="00000000">
              <w:rPr>
                <w:sz w:val="20"/>
                <w:szCs w:val="20"/>
                <w:rtl w:val="0"/>
              </w:rPr>
              <w:t xml:space="preserve">(Make,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i w:val="1"/>
                <w:sz w:val="20"/>
                <w:szCs w:val="20"/>
              </w:rPr>
            </w:pPr>
            <w:r w:rsidDel="00000000" w:rsidR="00000000" w:rsidRPr="00000000">
              <w:rPr>
                <w:i w:val="1"/>
                <w:sz w:val="20"/>
                <w:szCs w:val="20"/>
                <w:rtl w:val="0"/>
              </w:rPr>
              <w:t xml:space="preserve">Server hardware that is certified to run Red Hat Enterprise Linux is also certified to run Openshift and as part of that this includes Red Hat Enterprise Linux CoreOS. Please reference </w:t>
            </w:r>
            <w:hyperlink r:id="rId15">
              <w:r w:rsidDel="00000000" w:rsidR="00000000" w:rsidRPr="00000000">
                <w:rPr>
                  <w:i w:val="1"/>
                  <w:color w:val="1155cc"/>
                  <w:sz w:val="20"/>
                  <w:szCs w:val="20"/>
                  <w:u w:val="single"/>
                  <w:rtl w:val="0"/>
                </w:rPr>
                <w:t xml:space="preserve">Ecosystem Catalog</w:t>
              </w:r>
            </w:hyperlink>
            <w:r w:rsidDel="00000000" w:rsidR="00000000" w:rsidRPr="00000000">
              <w:rPr>
                <w:i w:val="1"/>
                <w:sz w:val="20"/>
                <w:szCs w:val="20"/>
                <w:rtl w:val="0"/>
              </w:rPr>
              <w:t xml:space="preserve"> for server hardware certified for RHEL.</w:t>
            </w:r>
            <w:r w:rsidDel="00000000" w:rsidR="00000000" w:rsidRPr="00000000">
              <w:rPr>
                <w:rtl w:val="0"/>
              </w:rPr>
            </w:r>
          </w:p>
        </w:tc>
      </w:tr>
      <w:tr>
        <w:trPr>
          <w:cantSplit w:val="0"/>
          <w:trHeight w:val="754.207317073170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b w:val="1"/>
                <w:sz w:val="20"/>
                <w:szCs w:val="20"/>
              </w:rPr>
            </w:pPr>
            <w:r w:rsidDel="00000000" w:rsidR="00000000" w:rsidRPr="00000000">
              <w:rPr>
                <w:b w:val="1"/>
                <w:sz w:val="20"/>
                <w:szCs w:val="20"/>
                <w:rtl w:val="0"/>
              </w:rPr>
              <w:t xml:space="preserve">Current non-OS Workloads</w:t>
            </w:r>
          </w:p>
          <w:p w:rsidR="00000000" w:rsidDel="00000000" w:rsidP="00000000" w:rsidRDefault="00000000" w:rsidRPr="00000000" w14:paraId="0000006F">
            <w:pPr>
              <w:widowControl w:val="0"/>
              <w:rPr>
                <w:sz w:val="20"/>
                <w:szCs w:val="20"/>
              </w:rPr>
            </w:pPr>
            <w:r w:rsidDel="00000000" w:rsidR="00000000" w:rsidRPr="00000000">
              <w:rPr>
                <w:rtl w:val="0"/>
              </w:rPr>
            </w:r>
          </w:p>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(e.g. SAP, VDI, Oracle DB,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i w:val="1"/>
                <w:sz w:val="20"/>
                <w:szCs w:val="20"/>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sz w:val="22"/>
          <w:szCs w:val="22"/>
        </w:rPr>
      </w:pPr>
      <w:bookmarkStart w:colFirst="0" w:colLast="0" w:name="_s9i5jhgg2jmp" w:id="9"/>
      <w:bookmarkEnd w:id="9"/>
      <w:r w:rsidDel="00000000" w:rsidR="00000000" w:rsidRPr="00000000">
        <w:rPr>
          <w:rtl w:val="0"/>
        </w:rPr>
      </w:r>
    </w:p>
    <w:p w:rsidR="00000000" w:rsidDel="00000000" w:rsidP="00000000" w:rsidRDefault="00000000" w:rsidRPr="00000000" w14:paraId="00000075">
      <w:pPr>
        <w:pStyle w:val="Heading2"/>
        <w:rPr>
          <w:sz w:val="22"/>
          <w:szCs w:val="22"/>
        </w:rPr>
      </w:pPr>
      <w:bookmarkStart w:colFirst="0" w:colLast="0" w:name="_cb5y84tudlio" w:id="10"/>
      <w:bookmarkEnd w:id="10"/>
      <w:r w:rsidDel="00000000" w:rsidR="00000000" w:rsidRPr="00000000">
        <w:rPr>
          <w:sz w:val="22"/>
          <w:szCs w:val="22"/>
          <w:rtl w:val="0"/>
        </w:rPr>
        <w:t xml:space="preserve">Current State Environment - </w:t>
      </w:r>
      <w:r w:rsidDel="00000000" w:rsidR="00000000" w:rsidRPr="00000000">
        <w:rPr>
          <w:sz w:val="22"/>
          <w:szCs w:val="22"/>
          <w:rtl w:val="0"/>
        </w:rPr>
        <w:t xml:space="preserve">Features</w:t>
      </w:r>
      <w:r w:rsidDel="00000000" w:rsidR="00000000" w:rsidRPr="00000000">
        <w:rPr>
          <w:sz w:val="22"/>
          <w:szCs w:val="22"/>
          <w:rtl w:val="0"/>
        </w:rPr>
        <w:t xml:space="preserve"> and Use Cases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In this section we explore the features the customer may be using that can be a problem for migration. </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Tip: </w:t>
      </w:r>
      <w:r w:rsidDel="00000000" w:rsidR="00000000" w:rsidRPr="00000000">
        <w:rPr>
          <w:sz w:val="20"/>
          <w:szCs w:val="20"/>
          <w:rtl w:val="0"/>
        </w:rPr>
        <w:t xml:space="preserve">Please check these documents as they may have been updated </w:t>
      </w:r>
      <w:hyperlink r:id="rId16">
        <w:r w:rsidDel="00000000" w:rsidR="00000000" w:rsidRPr="00000000">
          <w:rPr>
            <w:color w:val="0000ee"/>
            <w:sz w:val="20"/>
            <w:szCs w:val="20"/>
            <w:u w:val="single"/>
            <w:rtl w:val="0"/>
          </w:rPr>
          <w:t xml:space="preserve">vSphere features and how they map to OpenShift Virtualization </w:t>
        </w:r>
      </w:hyperlink>
      <w:r w:rsidDel="00000000" w:rsidR="00000000" w:rsidRPr="00000000">
        <w:rPr>
          <w:rtl w:val="0"/>
        </w:rPr>
      </w:r>
    </w:p>
    <w:p w:rsidR="00000000" w:rsidDel="00000000" w:rsidP="00000000" w:rsidRDefault="00000000" w:rsidRPr="00000000" w14:paraId="0000007A">
      <w:pPr>
        <w:rPr>
          <w:sz w:val="20"/>
          <w:szCs w:val="20"/>
        </w:rPr>
      </w:pPr>
      <w:hyperlink r:id="rId17">
        <w:r w:rsidDel="00000000" w:rsidR="00000000" w:rsidRPr="00000000">
          <w:rPr>
            <w:color w:val="0000ee"/>
            <w:sz w:val="20"/>
            <w:szCs w:val="20"/>
            <w:u w:val="single"/>
            <w:rtl w:val="0"/>
          </w:rPr>
          <w:t xml:space="preserve">Comparing OpenShift networking capabilities to VMware NSX</w:t>
        </w:r>
      </w:hyperlink>
      <w:r w:rsidDel="00000000" w:rsidR="00000000" w:rsidRPr="00000000">
        <w:rPr>
          <w:rtl w:val="0"/>
        </w:rPr>
      </w:r>
    </w:p>
    <w:p w:rsidR="00000000" w:rsidDel="00000000" w:rsidP="00000000" w:rsidRDefault="00000000" w:rsidRPr="00000000" w14:paraId="0000007B">
      <w:pPr>
        <w:rPr>
          <w:sz w:val="20"/>
          <w:szCs w:val="20"/>
        </w:rPr>
      </w:pPr>
      <w:hyperlink r:id="rId18">
        <w:r w:rsidDel="00000000" w:rsidR="00000000" w:rsidRPr="00000000">
          <w:rPr>
            <w:color w:val="0000ee"/>
            <w:sz w:val="20"/>
            <w:szCs w:val="20"/>
            <w:u w:val="single"/>
            <w:rtl w:val="0"/>
          </w:rPr>
          <w:t xml:space="preserve">Internal only Guide:VMware &lt;-&gt; OpenShift Virtualization</w:t>
        </w:r>
      </w:hyperlink>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Important: </w:t>
      </w:r>
      <w:r w:rsidDel="00000000" w:rsidR="00000000" w:rsidRPr="00000000">
        <w:rPr>
          <w:sz w:val="20"/>
          <w:szCs w:val="20"/>
          <w:rtl w:val="0"/>
        </w:rPr>
        <w:t xml:space="preserve">Do not ask directly about these features one by one. Instead, focus on the specific use cases for the customer and think about how we could implement those. Going through the list, one by one, may give a negative impression about OpenShift Virtualization capabilities.</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2705"/>
        <w:gridCol w:w="5425.000000000001"/>
        <w:tblGridChange w:id="0">
          <w:tblGrid>
            <w:gridCol w:w="2670"/>
            <w:gridCol w:w="2705"/>
            <w:gridCol w:w="5425.000000000001"/>
          </w:tblGrid>
        </w:tblGridChange>
      </w:tblGrid>
      <w:tr>
        <w:trPr>
          <w:cantSplit w:val="0"/>
          <w:tblHeader w:val="0"/>
        </w:trPr>
        <w:tc>
          <w:tcPr>
            <w:shd w:fill="be0000" w:val="clear"/>
            <w:tcMar>
              <w:top w:w="100.0" w:type="dxa"/>
              <w:left w:w="100.0" w:type="dxa"/>
              <w:bottom w:w="100.0" w:type="dxa"/>
              <w:right w:w="100.0" w:type="dxa"/>
            </w:tcMar>
            <w:vAlign w:val="top"/>
          </w:tcPr>
          <w:p w:rsidR="00000000" w:rsidDel="00000000" w:rsidP="00000000" w:rsidRDefault="00000000" w:rsidRPr="00000000" w14:paraId="00000080">
            <w:pPr>
              <w:widowControl w:val="0"/>
              <w:rPr>
                <w:b w:val="1"/>
                <w:color w:val="ffffff"/>
                <w:sz w:val="20"/>
                <w:szCs w:val="20"/>
              </w:rPr>
            </w:pPr>
            <w:r w:rsidDel="00000000" w:rsidR="00000000" w:rsidRPr="00000000">
              <w:rPr>
                <w:b w:val="1"/>
                <w:color w:val="ffffff"/>
                <w:sz w:val="20"/>
                <w:szCs w:val="20"/>
                <w:rtl w:val="0"/>
              </w:rPr>
              <w:t xml:space="preserve">Question</w:t>
            </w:r>
          </w:p>
        </w:tc>
        <w:tc>
          <w:tcPr>
            <w:shd w:fill="be0000" w:val="clear"/>
            <w:tcMar>
              <w:top w:w="100.0" w:type="dxa"/>
              <w:left w:w="100.0" w:type="dxa"/>
              <w:bottom w:w="100.0" w:type="dxa"/>
              <w:right w:w="100.0" w:type="dxa"/>
            </w:tcMar>
            <w:vAlign w:val="top"/>
          </w:tcPr>
          <w:p w:rsidR="00000000" w:rsidDel="00000000" w:rsidP="00000000" w:rsidRDefault="00000000" w:rsidRPr="00000000" w14:paraId="00000081">
            <w:pPr>
              <w:widowControl w:val="0"/>
              <w:rPr>
                <w:b w:val="1"/>
                <w:color w:val="ffffff"/>
                <w:sz w:val="20"/>
                <w:szCs w:val="20"/>
              </w:rPr>
            </w:pPr>
            <w:r w:rsidDel="00000000" w:rsidR="00000000" w:rsidRPr="00000000">
              <w:rPr>
                <w:b w:val="1"/>
                <w:color w:val="ffffff"/>
                <w:sz w:val="20"/>
                <w:szCs w:val="20"/>
                <w:rtl w:val="0"/>
              </w:rPr>
              <w:t xml:space="preserve">Features</w:t>
            </w:r>
          </w:p>
        </w:tc>
        <w:tc>
          <w:tcPr>
            <w:shd w:fill="be0000" w:val="clear"/>
            <w:tcMar>
              <w:top w:w="100.0" w:type="dxa"/>
              <w:left w:w="100.0" w:type="dxa"/>
              <w:bottom w:w="100.0" w:type="dxa"/>
              <w:right w:w="100.0" w:type="dxa"/>
            </w:tcMar>
            <w:vAlign w:val="top"/>
          </w:tcPr>
          <w:p w:rsidR="00000000" w:rsidDel="00000000" w:rsidP="00000000" w:rsidRDefault="00000000" w:rsidRPr="00000000" w14:paraId="00000082">
            <w:pPr>
              <w:widowControl w:val="0"/>
              <w:rPr>
                <w:b w:val="1"/>
                <w:color w:val="ffffff"/>
                <w:sz w:val="20"/>
                <w:szCs w:val="20"/>
              </w:rPr>
            </w:pPr>
            <w:r w:rsidDel="00000000" w:rsidR="00000000" w:rsidRPr="00000000">
              <w:rPr>
                <w:b w:val="1"/>
                <w:color w:val="ffffff"/>
                <w:sz w:val="20"/>
                <w:szCs w:val="20"/>
                <w:rtl w:val="0"/>
              </w:rPr>
              <w:t xml:space="preserve">Consideration</w:t>
            </w:r>
          </w:p>
        </w:tc>
      </w:tr>
      <w:tr>
        <w:trPr>
          <w:cantSplit w:val="0"/>
          <w:trHeight w:val="400" w:hRule="atLeast"/>
          <w:tblHeader w:val="0"/>
        </w:trPr>
        <w:tc>
          <w:tcPr>
            <w:vMerge w:val="restart"/>
          </w:tcPr>
          <w:p w:rsidR="00000000" w:rsidDel="00000000" w:rsidP="00000000" w:rsidRDefault="00000000" w:rsidRPr="00000000" w14:paraId="00000083">
            <w:pPr>
              <w:widowControl w:val="0"/>
              <w:rPr>
                <w:b w:val="1"/>
                <w:sz w:val="20"/>
                <w:szCs w:val="20"/>
              </w:rPr>
            </w:pPr>
            <w:r w:rsidDel="00000000" w:rsidR="00000000" w:rsidRPr="00000000">
              <w:rPr>
                <w:b w:val="1"/>
                <w:sz w:val="20"/>
                <w:szCs w:val="20"/>
                <w:rtl w:val="0"/>
              </w:rPr>
              <w:t xml:space="preserve">VMware Features Used?</w:t>
            </w:r>
          </w:p>
          <w:p w:rsidR="00000000" w:rsidDel="00000000" w:rsidP="00000000" w:rsidRDefault="00000000" w:rsidRPr="00000000" w14:paraId="00000084">
            <w:pPr>
              <w:widowControl w:val="0"/>
              <w:rPr>
                <w:sz w:val="20"/>
                <w:szCs w:val="20"/>
              </w:rPr>
            </w:pPr>
            <w:r w:rsidDel="00000000" w:rsidR="00000000" w:rsidRPr="00000000">
              <w:rPr>
                <w:rtl w:val="0"/>
              </w:rPr>
            </w:r>
          </w:p>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List features used and the use case for each one of them</w:t>
            </w:r>
          </w:p>
          <w:p w:rsidR="00000000" w:rsidDel="00000000" w:rsidP="00000000" w:rsidRDefault="00000000" w:rsidRPr="00000000" w14:paraId="00000086">
            <w:pPr>
              <w:widowControl w:val="0"/>
              <w:rPr>
                <w:sz w:val="20"/>
                <w:szCs w:val="20"/>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87">
            <w:pPr>
              <w:widowControl w:val="0"/>
              <w:rPr>
                <w:b w:val="1"/>
                <w:sz w:val="20"/>
                <w:szCs w:val="20"/>
              </w:rPr>
            </w:pPr>
            <w:r w:rsidDel="00000000" w:rsidR="00000000" w:rsidRPr="00000000">
              <w:rPr>
                <w:b w:val="1"/>
                <w:sz w:val="20"/>
                <w:szCs w:val="20"/>
                <w:rtl w:val="0"/>
              </w:rPr>
              <w:t xml:space="preserve">Storage</w:t>
            </w:r>
            <w:r w:rsidDel="00000000" w:rsidR="00000000" w:rsidRPr="00000000">
              <w:rPr>
                <w:rtl w:val="0"/>
              </w:rPr>
            </w:r>
          </w:p>
        </w:tc>
      </w:tr>
      <w:tr>
        <w:trPr>
          <w:cantSplit w:val="0"/>
          <w:trHeight w:val="400" w:hRule="atLeast"/>
          <w:tblHeader w:val="0"/>
        </w:trPr>
        <w:tc>
          <w:tcPr>
            <w:vMerge w:val="continue"/>
          </w:tcPr>
          <w:p w:rsidR="00000000" w:rsidDel="00000000" w:rsidP="00000000" w:rsidRDefault="00000000" w:rsidRPr="00000000" w14:paraId="00000089">
            <w:pPr>
              <w:widowControl w:val="0"/>
              <w:spacing w:after="0" w:before="0" w:line="240" w:lineRule="auto"/>
              <w:ind w:left="0" w:firstLine="0"/>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Storage vMotion</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rPr>
                <w:i w:val="1"/>
                <w:sz w:val="20"/>
                <w:szCs w:val="20"/>
              </w:rPr>
            </w:pPr>
            <w:r w:rsidDel="00000000" w:rsidR="00000000" w:rsidRPr="00000000">
              <w:rPr>
                <w:i w:val="1"/>
                <w:sz w:val="20"/>
                <w:szCs w:val="20"/>
                <w:rtl w:val="0"/>
              </w:rPr>
              <w:t xml:space="preserve">Currently </w:t>
            </w:r>
            <w:hyperlink r:id="rId19">
              <w:r w:rsidDel="00000000" w:rsidR="00000000" w:rsidRPr="00000000">
                <w:rPr>
                  <w:i w:val="1"/>
                  <w:color w:val="1155cc"/>
                  <w:sz w:val="20"/>
                  <w:szCs w:val="20"/>
                  <w:u w:val="single"/>
                  <w:rtl w:val="0"/>
                </w:rPr>
                <w:t xml:space="preserve">Tech Preview</w:t>
              </w:r>
            </w:hyperlink>
            <w:r w:rsidDel="00000000" w:rsidR="00000000" w:rsidRPr="00000000">
              <w:rPr>
                <w:i w:val="1"/>
                <w:sz w:val="20"/>
                <w:szCs w:val="20"/>
                <w:rtl w:val="0"/>
              </w:rPr>
              <w:t xml:space="preserve"> in 4.17 and 4.18. Expected GA in 4.19. There is support from Engineering in PoCs and in production via support exception</w:t>
            </w:r>
          </w:p>
        </w:tc>
      </w:tr>
      <w:tr>
        <w:trPr>
          <w:cantSplit w:val="0"/>
          <w:trHeight w:val="400" w:hRule="atLeast"/>
          <w:tblHeader w:val="0"/>
        </w:trPr>
        <w:tc>
          <w:tcPr>
            <w:vMerge w:val="continue"/>
          </w:tcPr>
          <w:p w:rsidR="00000000" w:rsidDel="00000000" w:rsidP="00000000" w:rsidRDefault="00000000" w:rsidRPr="00000000" w14:paraId="0000008C">
            <w:pPr>
              <w:widowControl w:val="0"/>
              <w:spacing w:after="0" w:before="0" w:line="240" w:lineRule="auto"/>
              <w:ind w:left="0" w:firstLine="0"/>
              <w:rPr>
                <w:b w:val="1"/>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Storage DRS</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rPr>
                <w:i w:val="1"/>
                <w:sz w:val="20"/>
                <w:szCs w:val="20"/>
              </w:rPr>
            </w:pPr>
            <w:r w:rsidDel="00000000" w:rsidR="00000000" w:rsidRPr="00000000">
              <w:rPr>
                <w:i w:val="1"/>
                <w:sz w:val="20"/>
                <w:szCs w:val="20"/>
                <w:rtl w:val="0"/>
              </w:rPr>
              <w:t xml:space="preserve">Native migration between storage classes is </w:t>
            </w:r>
            <w:hyperlink r:id="rId20">
              <w:r w:rsidDel="00000000" w:rsidR="00000000" w:rsidRPr="00000000">
                <w:rPr>
                  <w:i w:val="1"/>
                  <w:color w:val="1155cc"/>
                  <w:sz w:val="20"/>
                  <w:szCs w:val="20"/>
                  <w:u w:val="single"/>
                  <w:rtl w:val="0"/>
                </w:rPr>
                <w:t xml:space="preserve">on the roadmap</w:t>
              </w:r>
            </w:hyperlink>
            <w:r w:rsidDel="00000000" w:rsidR="00000000" w:rsidRPr="00000000">
              <w:rPr>
                <w:rtl w:val="0"/>
              </w:rPr>
            </w:r>
          </w:p>
        </w:tc>
      </w:tr>
      <w:tr>
        <w:trPr>
          <w:cantSplit w:val="0"/>
          <w:trHeight w:val="400" w:hRule="atLeast"/>
          <w:tblHeader w:val="0"/>
        </w:trPr>
        <w:tc>
          <w:tcPr>
            <w:vMerge w:val="continue"/>
          </w:tcPr>
          <w:p w:rsidR="00000000" w:rsidDel="00000000" w:rsidP="00000000" w:rsidRDefault="00000000" w:rsidRPr="00000000" w14:paraId="0000008F">
            <w:pPr>
              <w:widowControl w:val="0"/>
              <w:spacing w:after="0" w:before="0" w:line="240" w:lineRule="auto"/>
              <w:ind w:left="0" w:firstLine="0"/>
              <w:rPr>
                <w:b w:val="1"/>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RDM (Raw Device Map)</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rPr>
                <w:i w:val="1"/>
                <w:sz w:val="20"/>
                <w:szCs w:val="20"/>
              </w:rPr>
            </w:pPr>
            <w:r w:rsidDel="00000000" w:rsidR="00000000" w:rsidRPr="00000000">
              <w:rPr>
                <w:i w:val="1"/>
                <w:sz w:val="20"/>
                <w:szCs w:val="20"/>
                <w:rtl w:val="0"/>
              </w:rPr>
              <w:t xml:space="preserve">No full parity. Check for the use case, as it may be covered with PVCs with block access mode. Can be replaced with direct LUN. </w:t>
            </w:r>
          </w:p>
        </w:tc>
      </w:tr>
      <w:tr>
        <w:trPr>
          <w:cantSplit w:val="0"/>
          <w:trHeight w:val="400" w:hRule="atLeast"/>
          <w:tblHeader w:val="0"/>
        </w:trPr>
        <w:tc>
          <w:tcPr>
            <w:vMerge w:val="continue"/>
          </w:tcPr>
          <w:p w:rsidR="00000000" w:rsidDel="00000000" w:rsidP="00000000" w:rsidRDefault="00000000" w:rsidRPr="00000000" w14:paraId="00000092">
            <w:pPr>
              <w:widowControl w:val="0"/>
              <w:spacing w:after="0" w:before="0" w:line="240" w:lineRule="auto"/>
              <w:ind w:left="0" w:firstLine="0"/>
              <w:rPr>
                <w:b w:val="1"/>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Storage IO control (SIOC)</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rPr>
                <w:i w:val="1"/>
                <w:sz w:val="20"/>
                <w:szCs w:val="20"/>
              </w:rPr>
            </w:pPr>
            <w:r w:rsidDel="00000000" w:rsidR="00000000" w:rsidRPr="00000000">
              <w:rPr>
                <w:i w:val="1"/>
                <w:sz w:val="20"/>
                <w:szCs w:val="20"/>
                <w:rtl w:val="0"/>
              </w:rPr>
              <w:t xml:space="preserve">Common QoS for workloads, we don’t have a good equivalent. Would be responsibility of the CSI driver. Check vendor details</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ind w:left="0" w:firstLine="0"/>
              <w:rPr>
                <w:b w:val="1"/>
                <w:sz w:val="20"/>
                <w:szCs w:val="20"/>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96">
            <w:pPr>
              <w:widowControl w:val="0"/>
              <w:rPr>
                <w:b w:val="1"/>
                <w:i w:val="1"/>
                <w:sz w:val="20"/>
                <w:szCs w:val="20"/>
              </w:rPr>
            </w:pPr>
            <w:r w:rsidDel="00000000" w:rsidR="00000000" w:rsidRPr="00000000">
              <w:rPr>
                <w:b w:val="1"/>
                <w:sz w:val="20"/>
                <w:szCs w:val="20"/>
                <w:rtl w:val="0"/>
              </w:rPr>
              <w:t xml:space="preserve">Networking - </w:t>
            </w:r>
            <w:r w:rsidDel="00000000" w:rsidR="00000000" w:rsidRPr="00000000">
              <w:rPr>
                <w:b w:val="1"/>
                <w:i w:val="1"/>
                <w:sz w:val="20"/>
                <w:szCs w:val="20"/>
                <w:rtl w:val="0"/>
              </w:rPr>
              <w:t xml:space="preserve">Only if the customer has NSX. If not, do not go deep into this</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240" w:lineRule="auto"/>
              <w:ind w:left="0" w:firstLine="0"/>
              <w:rPr>
                <w:b w:val="1"/>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Routing</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rPr>
                <w:i w:val="1"/>
                <w:sz w:val="20"/>
                <w:szCs w:val="20"/>
              </w:rPr>
            </w:pPr>
            <w:r w:rsidDel="00000000" w:rsidR="00000000" w:rsidRPr="00000000">
              <w:rPr>
                <w:i w:val="1"/>
                <w:sz w:val="20"/>
                <w:szCs w:val="20"/>
                <w:rtl w:val="0"/>
              </w:rPr>
              <w:t xml:space="preserve">There is no L2 gateway feature to provide routing between overlay networks</w:t>
            </w:r>
            <w:r w:rsidDel="00000000" w:rsidR="00000000" w:rsidRPr="00000000">
              <w:rPr>
                <w:i w:val="1"/>
                <w:sz w:val="20"/>
                <w:szCs w:val="20"/>
                <w:rtl w:val="0"/>
              </w:rPr>
              <w:t xml:space="preserve">. </w:t>
            </w:r>
            <w:hyperlink r:id="rId21">
              <w:r w:rsidDel="00000000" w:rsidR="00000000" w:rsidRPr="00000000">
                <w:rPr>
                  <w:i w:val="1"/>
                  <w:color w:val="1155cc"/>
                  <w:sz w:val="20"/>
                  <w:szCs w:val="20"/>
                  <w:u w:val="single"/>
                  <w:rtl w:val="0"/>
                </w:rPr>
                <w:t xml:space="preserve">Work in progress in UDN</w:t>
              </w:r>
            </w:hyperlink>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40" w:lineRule="auto"/>
              <w:ind w:left="0" w:firstLine="0"/>
              <w:rPr>
                <w:b w:val="1"/>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VPN</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rPr>
                <w:i w:val="1"/>
                <w:sz w:val="20"/>
                <w:szCs w:val="20"/>
              </w:rPr>
            </w:pPr>
            <w:r w:rsidDel="00000000" w:rsidR="00000000" w:rsidRPr="00000000">
              <w:rPr>
                <w:i w:val="1"/>
                <w:sz w:val="20"/>
                <w:szCs w:val="20"/>
                <w:rtl w:val="0"/>
              </w:rPr>
              <w:t xml:space="preserve">Could be managed by Skupper/Submariner</w:t>
            </w:r>
          </w:p>
          <w:p w:rsidR="00000000" w:rsidDel="00000000" w:rsidP="00000000" w:rsidRDefault="00000000" w:rsidRPr="00000000" w14:paraId="0000009E">
            <w:pPr>
              <w:widowControl w:val="0"/>
              <w:rPr>
                <w:i w:val="1"/>
                <w:sz w:val="20"/>
                <w:szCs w:val="20"/>
              </w:rPr>
            </w:pPr>
            <w:r w:rsidDel="00000000" w:rsidR="00000000" w:rsidRPr="00000000">
              <w:rPr>
                <w:i w:val="1"/>
                <w:sz w:val="20"/>
                <w:szCs w:val="20"/>
                <w:rtl w:val="0"/>
              </w:rPr>
              <w:t xml:space="preserve">It is in the </w:t>
            </w:r>
            <w:hyperlink r:id="rId22">
              <w:r w:rsidDel="00000000" w:rsidR="00000000" w:rsidRPr="00000000">
                <w:rPr>
                  <w:i w:val="1"/>
                  <w:color w:val="1155cc"/>
                  <w:sz w:val="20"/>
                  <w:szCs w:val="20"/>
                  <w:u w:val="single"/>
                  <w:rtl w:val="0"/>
                </w:rPr>
                <w:t xml:space="preserve">roadmap with UDN</w:t>
              </w:r>
            </w:hyperlink>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ind w:left="0" w:firstLine="0"/>
              <w:rPr>
                <w:b w:val="1"/>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Port mirroring</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rPr>
                <w:i w:val="1"/>
                <w:sz w:val="20"/>
                <w:szCs w:val="20"/>
              </w:rPr>
            </w:pPr>
            <w:r w:rsidDel="00000000" w:rsidR="00000000" w:rsidRPr="00000000">
              <w:rPr>
                <w:i w:val="1"/>
                <w:sz w:val="20"/>
                <w:szCs w:val="20"/>
                <w:rtl w:val="0"/>
              </w:rPr>
              <w:t xml:space="preserve">Not available, there is an </w:t>
            </w:r>
            <w:hyperlink r:id="rId23">
              <w:r w:rsidDel="00000000" w:rsidR="00000000" w:rsidRPr="00000000">
                <w:rPr>
                  <w:i w:val="1"/>
                  <w:color w:val="1155cc"/>
                  <w:sz w:val="20"/>
                  <w:szCs w:val="20"/>
                  <w:u w:val="single"/>
                  <w:rtl w:val="0"/>
                </w:rPr>
                <w:t xml:space="preserve">RFE</w:t>
              </w:r>
            </w:hyperlink>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240" w:lineRule="auto"/>
              <w:ind w:left="0" w:firstLine="0"/>
              <w:rPr>
                <w:b w:val="1"/>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Network IO Control (NIOC)</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rPr>
                <w:i w:val="1"/>
                <w:sz w:val="20"/>
                <w:szCs w:val="20"/>
              </w:rPr>
            </w:pPr>
            <w:r w:rsidDel="00000000" w:rsidR="00000000" w:rsidRPr="00000000">
              <w:rPr>
                <w:i w:val="1"/>
                <w:sz w:val="20"/>
                <w:szCs w:val="20"/>
                <w:rtl w:val="0"/>
              </w:rPr>
              <w:t xml:space="preserve">There is no equivalent in OpenShift. However, pod level bandwidth limits apply to VMs as well. Additionally, Service Mesh can provide more fine grained control</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240" w:lineRule="auto"/>
              <w:ind w:left="0" w:firstLine="0"/>
              <w:rPr>
                <w:b w:val="1"/>
                <w:sz w:val="20"/>
                <w:szCs w:val="20"/>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A6">
            <w:pPr>
              <w:widowControl w:val="0"/>
              <w:rPr>
                <w:b w:val="1"/>
                <w:sz w:val="20"/>
                <w:szCs w:val="20"/>
              </w:rPr>
            </w:pPr>
            <w:r w:rsidDel="00000000" w:rsidR="00000000" w:rsidRPr="00000000">
              <w:rPr>
                <w:b w:val="1"/>
                <w:sz w:val="20"/>
                <w:szCs w:val="20"/>
                <w:rtl w:val="0"/>
              </w:rPr>
              <w:t xml:space="preserve">Reliability and Flexibility</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240" w:lineRule="auto"/>
              <w:ind w:left="0" w:firstLine="0"/>
              <w:rPr>
                <w:b w:val="1"/>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Fault Tolerance</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rPr>
                <w:i w:val="1"/>
                <w:sz w:val="20"/>
                <w:szCs w:val="20"/>
              </w:rPr>
            </w:pPr>
            <w:r w:rsidDel="00000000" w:rsidR="00000000" w:rsidRPr="00000000">
              <w:rPr>
                <w:i w:val="1"/>
                <w:sz w:val="20"/>
                <w:szCs w:val="20"/>
                <w:rtl w:val="0"/>
              </w:rPr>
              <w:t xml:space="preserve">Proprietary technology, not available in Virt. Explore use case. Very few VMs use this, but those VMs are of the highest criticality. There is no equivalent in OpenShift Virtualization. </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240" w:lineRule="auto"/>
              <w:ind w:left="0" w:firstLine="0"/>
              <w:rPr>
                <w:b w:val="1"/>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DRS (Dynamic Resource Scheduling)</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rPr>
                <w:i w:val="1"/>
                <w:sz w:val="20"/>
                <w:szCs w:val="20"/>
              </w:rPr>
            </w:pPr>
            <w:r w:rsidDel="00000000" w:rsidR="00000000" w:rsidRPr="00000000">
              <w:rPr>
                <w:i w:val="1"/>
                <w:sz w:val="20"/>
                <w:szCs w:val="20"/>
                <w:rtl w:val="0"/>
              </w:rPr>
              <w:t xml:space="preserve">Depending on the use case it can be done with eviction policies and the </w:t>
            </w:r>
            <w:hyperlink r:id="rId24">
              <w:r w:rsidDel="00000000" w:rsidR="00000000" w:rsidRPr="00000000">
                <w:rPr>
                  <w:i w:val="1"/>
                  <w:color w:val="1155cc"/>
                  <w:sz w:val="20"/>
                  <w:szCs w:val="20"/>
                  <w:u w:val="single"/>
                  <w:rtl w:val="0"/>
                </w:rPr>
                <w:t xml:space="preserve">descheduler</w:t>
              </w:r>
            </w:hyperlink>
            <w:r w:rsidDel="00000000" w:rsidR="00000000" w:rsidRPr="00000000">
              <w:rPr>
                <w:i w:val="1"/>
                <w:sz w:val="20"/>
                <w:szCs w:val="20"/>
                <w:rtl w:val="0"/>
              </w:rPr>
              <w:t xml:space="preserve">. </w:t>
            </w:r>
            <w:r w:rsidDel="00000000" w:rsidR="00000000" w:rsidRPr="00000000">
              <w:rPr>
                <w:i w:val="1"/>
                <w:sz w:val="20"/>
                <w:szCs w:val="20"/>
                <w:rtl w:val="0"/>
              </w:rPr>
              <w:t xml:space="preserve">Track progress in </w:t>
            </w:r>
            <w:hyperlink r:id="rId25">
              <w:r w:rsidDel="00000000" w:rsidR="00000000" w:rsidRPr="00000000">
                <w:rPr>
                  <w:i w:val="1"/>
                  <w:color w:val="1155cc"/>
                  <w:sz w:val="20"/>
                  <w:szCs w:val="20"/>
                  <w:u w:val="single"/>
                  <w:rtl w:val="0"/>
                </w:rPr>
                <w:t xml:space="preserve">JIRA.</w:t>
              </w:r>
            </w:hyperlink>
            <w:r w:rsidDel="00000000" w:rsidR="00000000" w:rsidRPr="00000000">
              <w:rPr>
                <w:i w:val="1"/>
                <w:sz w:val="20"/>
                <w:szCs w:val="20"/>
                <w:rtl w:val="0"/>
              </w:rPr>
              <w:t xml:space="preserve">  </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240" w:lineRule="auto"/>
              <w:ind w:left="0" w:firstLine="0"/>
              <w:rPr>
                <w:b w:val="1"/>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CPU Overcommit</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rPr>
                <w:i w:val="1"/>
                <w:sz w:val="20"/>
                <w:szCs w:val="20"/>
              </w:rPr>
            </w:pPr>
            <w:r w:rsidDel="00000000" w:rsidR="00000000" w:rsidRPr="00000000">
              <w:rPr>
                <w:i w:val="1"/>
                <w:sz w:val="20"/>
                <w:szCs w:val="20"/>
                <w:rtl w:val="0"/>
              </w:rPr>
              <w:t xml:space="preserve">Virt has a maximum of 10:1, check customer requirements</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240" w:lineRule="auto"/>
              <w:ind w:left="0" w:firstLine="0"/>
              <w:rPr>
                <w:b w:val="1"/>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Memory Overcommit</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rPr>
                <w:i w:val="1"/>
                <w:sz w:val="20"/>
                <w:szCs w:val="20"/>
              </w:rPr>
            </w:pPr>
            <w:r w:rsidDel="00000000" w:rsidR="00000000" w:rsidRPr="00000000">
              <w:rPr>
                <w:i w:val="1"/>
                <w:sz w:val="20"/>
                <w:szCs w:val="20"/>
                <w:rtl w:val="0"/>
              </w:rPr>
              <w:t xml:space="preserve">There is safe memory overcommit by using swap. Check </w:t>
            </w:r>
            <w:hyperlink r:id="rId26">
              <w:r w:rsidDel="00000000" w:rsidR="00000000" w:rsidRPr="00000000">
                <w:rPr>
                  <w:i w:val="1"/>
                  <w:color w:val="1155cc"/>
                  <w:sz w:val="20"/>
                  <w:szCs w:val="20"/>
                  <w:u w:val="single"/>
                  <w:rtl w:val="0"/>
                </w:rPr>
                <w:t xml:space="preserve">details</w:t>
              </w:r>
            </w:hyperlink>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40" w:lineRule="auto"/>
              <w:ind w:left="0" w:firstLine="0"/>
              <w:rPr>
                <w:b w:val="1"/>
                <w:sz w:val="20"/>
                <w:szCs w:val="20"/>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B5">
            <w:pPr>
              <w:widowControl w:val="0"/>
              <w:rPr>
                <w:b w:val="1"/>
                <w:sz w:val="20"/>
                <w:szCs w:val="20"/>
              </w:rPr>
            </w:pPr>
            <w:r w:rsidDel="00000000" w:rsidR="00000000" w:rsidRPr="00000000">
              <w:rPr>
                <w:b w:val="1"/>
                <w:sz w:val="20"/>
                <w:szCs w:val="20"/>
                <w:rtl w:val="0"/>
              </w:rPr>
              <w:t xml:space="preserve">Backup, DR and Protection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240" w:lineRule="auto"/>
              <w:ind w:left="0" w:firstLine="0"/>
              <w:rPr>
                <w:b w:val="1"/>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VM Snapshot</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rPr>
                <w:i w:val="1"/>
                <w:sz w:val="20"/>
                <w:szCs w:val="20"/>
              </w:rPr>
            </w:pPr>
            <w:r w:rsidDel="00000000" w:rsidR="00000000" w:rsidRPr="00000000">
              <w:rPr>
                <w:i w:val="1"/>
                <w:sz w:val="20"/>
                <w:szCs w:val="20"/>
                <w:rtl w:val="0"/>
              </w:rPr>
              <w:t xml:space="preserve">Snapshots are supported, but not with memory (there is an RFE but it is not on the roadmap yet - </w:t>
            </w:r>
            <w:hyperlink r:id="rId27">
              <w:r w:rsidDel="00000000" w:rsidR="00000000" w:rsidRPr="00000000">
                <w:rPr>
                  <w:i w:val="1"/>
                  <w:color w:val="1155cc"/>
                  <w:sz w:val="20"/>
                  <w:szCs w:val="20"/>
                  <w:u w:val="single"/>
                  <w:rtl w:val="0"/>
                </w:rPr>
                <w:t xml:space="preserve">reference upstream</w:t>
              </w:r>
            </w:hyperlink>
            <w:r w:rsidDel="00000000" w:rsidR="00000000" w:rsidRPr="00000000">
              <w:rPr>
                <w:i w:val="1"/>
                <w:sz w:val="20"/>
                <w:szCs w:val="20"/>
                <w:rtl w:val="0"/>
              </w:rPr>
              <w:t xml:space="preserve">)</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rPr>
          <w:sz w:val="22"/>
          <w:szCs w:val="22"/>
        </w:rPr>
      </w:pPr>
      <w:bookmarkStart w:colFirst="0" w:colLast="0" w:name="_t4zhe5qne2ks" w:id="11"/>
      <w:bookmarkEnd w:id="11"/>
      <w:r w:rsidDel="00000000" w:rsidR="00000000" w:rsidRPr="00000000">
        <w:rPr>
          <w:sz w:val="22"/>
          <w:szCs w:val="22"/>
          <w:rtl w:val="0"/>
        </w:rPr>
        <w:t xml:space="preserve">Customer’s Current Commitment Level to Migrate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In this section we want to explore the customer’s level of commitment to do a migration to OpenShift Virtualization.</w:t>
      </w:r>
    </w:p>
    <w:p w:rsidR="00000000" w:rsidDel="00000000" w:rsidP="00000000" w:rsidRDefault="00000000" w:rsidRPr="00000000" w14:paraId="000000BF">
      <w:pPr>
        <w:rPr>
          <w:sz w:val="20"/>
          <w:szCs w:val="20"/>
        </w:rPr>
      </w:pP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6600"/>
        <w:tblGridChange w:id="0">
          <w:tblGrid>
            <w:gridCol w:w="4200"/>
            <w:gridCol w:w="6600"/>
          </w:tblGrid>
        </w:tblGridChange>
      </w:tblGrid>
      <w:tr>
        <w:trPr>
          <w:cantSplit w:val="0"/>
          <w:tblHeader w:val="0"/>
        </w:trPr>
        <w:tc>
          <w:tcPr>
            <w:shd w:fill="be0000" w:val="clear"/>
            <w:tcMar>
              <w:top w:w="100.0" w:type="dxa"/>
              <w:left w:w="100.0" w:type="dxa"/>
              <w:bottom w:w="100.0" w:type="dxa"/>
              <w:right w:w="100.0" w:type="dxa"/>
            </w:tcMar>
            <w:vAlign w:val="top"/>
          </w:tcPr>
          <w:p w:rsidR="00000000" w:rsidDel="00000000" w:rsidP="00000000" w:rsidRDefault="00000000" w:rsidRPr="00000000" w14:paraId="000000C0">
            <w:pPr>
              <w:widowControl w:val="0"/>
              <w:rPr>
                <w:b w:val="1"/>
                <w:color w:val="ffffff"/>
                <w:sz w:val="20"/>
                <w:szCs w:val="20"/>
              </w:rPr>
            </w:pPr>
            <w:r w:rsidDel="00000000" w:rsidR="00000000" w:rsidRPr="00000000">
              <w:rPr>
                <w:b w:val="1"/>
                <w:color w:val="ffffff"/>
                <w:sz w:val="20"/>
                <w:szCs w:val="20"/>
                <w:rtl w:val="0"/>
              </w:rPr>
              <w:t xml:space="preserve">Question</w:t>
            </w:r>
          </w:p>
        </w:tc>
        <w:tc>
          <w:tcPr>
            <w:shd w:fill="be0000" w:val="clear"/>
            <w:tcMar>
              <w:top w:w="100.0" w:type="dxa"/>
              <w:left w:w="100.0" w:type="dxa"/>
              <w:bottom w:w="100.0" w:type="dxa"/>
              <w:right w:w="100.0" w:type="dxa"/>
            </w:tcMar>
            <w:vAlign w:val="top"/>
          </w:tcPr>
          <w:p w:rsidR="00000000" w:rsidDel="00000000" w:rsidP="00000000" w:rsidRDefault="00000000" w:rsidRPr="00000000" w14:paraId="000000C1">
            <w:pPr>
              <w:widowControl w:val="0"/>
              <w:rPr>
                <w:b w:val="1"/>
                <w:color w:val="ffffff"/>
                <w:sz w:val="20"/>
                <w:szCs w:val="20"/>
              </w:rPr>
            </w:pPr>
            <w:r w:rsidDel="00000000" w:rsidR="00000000" w:rsidRPr="00000000">
              <w:rPr>
                <w:b w:val="1"/>
                <w:color w:val="ffffff"/>
                <w:sz w:val="20"/>
                <w:szCs w:val="20"/>
                <w:rtl w:val="0"/>
              </w:rPr>
              <w:t xml:space="preserve">Consideration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b w:val="1"/>
                <w:sz w:val="20"/>
                <w:szCs w:val="20"/>
              </w:rPr>
            </w:pPr>
            <w:r w:rsidDel="00000000" w:rsidR="00000000" w:rsidRPr="00000000">
              <w:rPr>
                <w:b w:val="1"/>
                <w:sz w:val="20"/>
                <w:szCs w:val="20"/>
                <w:rtl w:val="0"/>
              </w:rPr>
              <w:t xml:space="preserve">Timeline to deploy VMware alternative into production?</w:t>
            </w:r>
          </w:p>
          <w:p w:rsidR="00000000" w:rsidDel="00000000" w:rsidP="00000000" w:rsidRDefault="00000000" w:rsidRPr="00000000" w14:paraId="000000C3">
            <w:pPr>
              <w:widowControl w:val="0"/>
              <w:rPr>
                <w:sz w:val="20"/>
                <w:szCs w:val="20"/>
              </w:rPr>
            </w:pPr>
            <w:r w:rsidDel="00000000" w:rsidR="00000000" w:rsidRPr="00000000">
              <w:rPr>
                <w:rtl w:val="0"/>
              </w:rPr>
            </w:r>
          </w:p>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Timeline, including the total number of VMs to be migrated. </w:t>
            </w:r>
          </w:p>
          <w:p w:rsidR="00000000" w:rsidDel="00000000" w:rsidP="00000000" w:rsidRDefault="00000000" w:rsidRPr="00000000" w14:paraId="000000C5">
            <w:pPr>
              <w:widowControl w:val="0"/>
              <w:rPr>
                <w:sz w:val="20"/>
                <w:szCs w:val="20"/>
              </w:rPr>
            </w:pPr>
            <w:r w:rsidDel="00000000" w:rsidR="00000000" w:rsidRPr="00000000">
              <w:rPr>
                <w:rtl w:val="0"/>
              </w:rPr>
            </w:r>
          </w:p>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Assumption: Customer will run VMware alternative and VMware side by side for at least 12-months to de-risk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i w:val="1"/>
                <w:sz w:val="20"/>
                <w:szCs w:val="20"/>
              </w:rPr>
            </w:pPr>
            <w:r w:rsidDel="00000000" w:rsidR="00000000" w:rsidRPr="00000000">
              <w:rPr>
                <w:i w:val="1"/>
                <w:sz w:val="20"/>
                <w:szCs w:val="20"/>
                <w:rtl w:val="0"/>
              </w:rPr>
              <w:t xml:space="preserve">Please identify how many data centers, heavy edges and or cloud environments are supported. Additionally please indicate the customer’s common practice for use of Production and Non-Production environments such as Prod, Pre-Prod, Test, Development etc.</w:t>
            </w:r>
          </w:p>
          <w:p w:rsidR="00000000" w:rsidDel="00000000" w:rsidP="00000000" w:rsidRDefault="00000000" w:rsidRPr="00000000" w14:paraId="000000C8">
            <w:pPr>
              <w:widowControl w:val="0"/>
              <w:rPr>
                <w:i w:val="1"/>
                <w:sz w:val="20"/>
                <w:szCs w:val="20"/>
              </w:rPr>
            </w:pPr>
            <w:r w:rsidDel="00000000" w:rsidR="00000000" w:rsidRPr="00000000">
              <w:rPr>
                <w:rtl w:val="0"/>
              </w:rPr>
            </w:r>
          </w:p>
          <w:p w:rsidR="00000000" w:rsidDel="00000000" w:rsidP="00000000" w:rsidRDefault="00000000" w:rsidRPr="00000000" w14:paraId="000000C9">
            <w:pPr>
              <w:widowControl w:val="0"/>
              <w:rPr>
                <w:i w:val="1"/>
                <w:sz w:val="20"/>
                <w:szCs w:val="20"/>
              </w:rPr>
            </w:pPr>
            <w:r w:rsidDel="00000000" w:rsidR="00000000" w:rsidRPr="00000000">
              <w:rPr>
                <w:i w:val="1"/>
                <w:sz w:val="20"/>
                <w:szCs w:val="20"/>
                <w:rtl w:val="0"/>
              </w:rPr>
              <w:t xml:space="preserve">Most of the sizing information will be available if the customer has provided rvtools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b w:val="1"/>
                <w:sz w:val="20"/>
                <w:szCs w:val="20"/>
              </w:rPr>
            </w:pPr>
            <w:r w:rsidDel="00000000" w:rsidR="00000000" w:rsidRPr="00000000">
              <w:rPr>
                <w:b w:val="1"/>
                <w:sz w:val="20"/>
                <w:szCs w:val="20"/>
                <w:rtl w:val="0"/>
              </w:rPr>
              <w:t xml:space="preserve">Financial Budget?</w:t>
            </w:r>
          </w:p>
          <w:p w:rsidR="00000000" w:rsidDel="00000000" w:rsidP="00000000" w:rsidRDefault="00000000" w:rsidRPr="00000000" w14:paraId="000000CB">
            <w:pPr>
              <w:widowControl w:val="0"/>
              <w:rPr>
                <w:sz w:val="20"/>
                <w:szCs w:val="20"/>
              </w:rPr>
            </w:pPr>
            <w:r w:rsidDel="00000000" w:rsidR="00000000" w:rsidRPr="00000000">
              <w:rPr>
                <w:rtl w:val="0"/>
              </w:rPr>
            </w:r>
          </w:p>
          <w:p w:rsidR="00000000" w:rsidDel="00000000" w:rsidP="00000000" w:rsidRDefault="00000000" w:rsidRPr="00000000" w14:paraId="000000CC">
            <w:pPr>
              <w:widowControl w:val="0"/>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i w:val="1"/>
                <w:sz w:val="20"/>
                <w:szCs w:val="20"/>
              </w:rPr>
            </w:pPr>
            <w:r w:rsidDel="00000000" w:rsidR="00000000" w:rsidRPr="00000000">
              <w:rPr>
                <w:i w:val="1"/>
                <w:sz w:val="20"/>
                <w:szCs w:val="20"/>
                <w:rtl w:val="0"/>
              </w:rPr>
              <w:t xml:space="preserve">For things like:</w:t>
            </w:r>
          </w:p>
          <w:p w:rsidR="00000000" w:rsidDel="00000000" w:rsidP="00000000" w:rsidRDefault="00000000" w:rsidRPr="00000000" w14:paraId="000000CE">
            <w:pPr>
              <w:widowControl w:val="0"/>
              <w:numPr>
                <w:ilvl w:val="0"/>
                <w:numId w:val="1"/>
              </w:numPr>
              <w:ind w:left="720" w:hanging="360"/>
              <w:rPr>
                <w:i w:val="1"/>
                <w:sz w:val="20"/>
                <w:szCs w:val="20"/>
              </w:rPr>
            </w:pPr>
            <w:hyperlink r:id="rId28">
              <w:r w:rsidDel="00000000" w:rsidR="00000000" w:rsidRPr="00000000">
                <w:rPr>
                  <w:i w:val="1"/>
                  <w:color w:val="1155cc"/>
                  <w:sz w:val="20"/>
                  <w:szCs w:val="20"/>
                  <w:u w:val="single"/>
                  <w:rtl w:val="0"/>
                </w:rPr>
                <w:t xml:space="preserve">Red Hat Business Value Selling </w:t>
              </w:r>
            </w:hyperlink>
            <w:r w:rsidDel="00000000" w:rsidR="00000000" w:rsidRPr="00000000">
              <w:rPr>
                <w:rtl w:val="0"/>
              </w:rPr>
            </w:r>
          </w:p>
          <w:p w:rsidR="00000000" w:rsidDel="00000000" w:rsidP="00000000" w:rsidRDefault="00000000" w:rsidRPr="00000000" w14:paraId="000000CF">
            <w:pPr>
              <w:widowControl w:val="0"/>
              <w:numPr>
                <w:ilvl w:val="0"/>
                <w:numId w:val="1"/>
              </w:numPr>
              <w:ind w:left="720" w:hanging="360"/>
              <w:rPr>
                <w:i w:val="1"/>
                <w:sz w:val="20"/>
                <w:szCs w:val="20"/>
              </w:rPr>
            </w:pPr>
            <w:r w:rsidDel="00000000" w:rsidR="00000000" w:rsidRPr="00000000">
              <w:rPr>
                <w:i w:val="1"/>
                <w:sz w:val="20"/>
                <w:szCs w:val="20"/>
                <w:rtl w:val="0"/>
              </w:rPr>
              <w:t xml:space="preserve">VMware alternative TCO analysis</w:t>
            </w:r>
          </w:p>
          <w:p w:rsidR="00000000" w:rsidDel="00000000" w:rsidP="00000000" w:rsidRDefault="00000000" w:rsidRPr="00000000" w14:paraId="000000D0">
            <w:pPr>
              <w:widowControl w:val="0"/>
              <w:numPr>
                <w:ilvl w:val="0"/>
                <w:numId w:val="1"/>
              </w:numPr>
              <w:ind w:left="720" w:hanging="360"/>
              <w:rPr>
                <w:i w:val="1"/>
                <w:sz w:val="20"/>
                <w:szCs w:val="20"/>
              </w:rPr>
            </w:pPr>
            <w:hyperlink r:id="rId29">
              <w:r w:rsidDel="00000000" w:rsidR="00000000" w:rsidRPr="00000000">
                <w:rPr>
                  <w:i w:val="1"/>
                  <w:color w:val="1155cc"/>
                  <w:sz w:val="20"/>
                  <w:szCs w:val="20"/>
                  <w:u w:val="single"/>
                  <w:rtl w:val="0"/>
                </w:rPr>
                <w:t xml:space="preserve">Investing in a VMA</w:t>
              </w:r>
            </w:hyperlink>
            <w:r w:rsidDel="00000000" w:rsidR="00000000" w:rsidRPr="00000000">
              <w:rPr>
                <w:rtl w:val="0"/>
              </w:rPr>
            </w:r>
          </w:p>
          <w:p w:rsidR="00000000" w:rsidDel="00000000" w:rsidP="00000000" w:rsidRDefault="00000000" w:rsidRPr="00000000" w14:paraId="000000D1">
            <w:pPr>
              <w:widowControl w:val="0"/>
              <w:numPr>
                <w:ilvl w:val="0"/>
                <w:numId w:val="1"/>
              </w:numPr>
              <w:ind w:left="720" w:hanging="360"/>
              <w:rPr>
                <w:i w:val="1"/>
                <w:sz w:val="20"/>
                <w:szCs w:val="20"/>
              </w:rPr>
            </w:pPr>
            <w:r w:rsidDel="00000000" w:rsidR="00000000" w:rsidRPr="00000000">
              <w:rPr>
                <w:i w:val="1"/>
                <w:sz w:val="20"/>
                <w:szCs w:val="20"/>
                <w:rtl w:val="0"/>
              </w:rPr>
              <w:t xml:space="preserve">Investing in a Proof of Value</w:t>
            </w:r>
          </w:p>
          <w:p w:rsidR="00000000" w:rsidDel="00000000" w:rsidP="00000000" w:rsidRDefault="00000000" w:rsidRPr="00000000" w14:paraId="000000D2">
            <w:pPr>
              <w:widowControl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sz w:val="20"/>
                <w:szCs w:val="20"/>
              </w:rPr>
            </w:pPr>
            <w:r w:rsidDel="00000000" w:rsidR="00000000" w:rsidRPr="00000000">
              <w:rPr>
                <w:b w:val="1"/>
                <w:sz w:val="20"/>
                <w:szCs w:val="20"/>
                <w:rtl w:val="0"/>
              </w:rPr>
              <w:t xml:space="preserve">Would you allocate people resources to work with </w:t>
            </w:r>
            <w:r w:rsidDel="00000000" w:rsidR="00000000" w:rsidRPr="00000000">
              <w:rPr>
                <w:b w:val="1"/>
                <w:sz w:val="20"/>
                <w:szCs w:val="20"/>
                <w:rtl w:val="0"/>
              </w:rPr>
              <w:t xml:space="preserve">Red Hat to</w:t>
            </w:r>
            <w:r w:rsidDel="00000000" w:rsidR="00000000" w:rsidRPr="00000000">
              <w:rPr>
                <w:b w:val="1"/>
                <w:sz w:val="20"/>
                <w:szCs w:val="20"/>
                <w:rtl w:val="0"/>
              </w:rPr>
              <w:t xml:space="preserve"> advise on evaluation &amp; implementation?</w:t>
            </w:r>
            <w:r w:rsidDel="00000000" w:rsidR="00000000" w:rsidRPr="00000000">
              <w:rPr>
                <w:sz w:val="20"/>
                <w:szCs w:val="20"/>
                <w:rtl w:val="0"/>
              </w:rPr>
              <w:br w:type="textWrapping"/>
              <w:br w:type="textWrapping"/>
              <w:t xml:space="preserve">(Are those resources cross functional – networking, platform,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sz w:val="20"/>
                <w:szCs w:val="20"/>
              </w:rPr>
            </w:pPr>
            <w:r w:rsidDel="00000000" w:rsidR="00000000" w:rsidRPr="00000000">
              <w:rPr>
                <w:i w:val="1"/>
                <w:sz w:val="20"/>
                <w:szCs w:val="20"/>
                <w:rtl w:val="0"/>
              </w:rPr>
              <w:t xml:space="preserve">Red Hat is positioned to support customers to achieve their desired outcomes.  This includes providing presales and implementation support for customers and consulting partners that support end customers.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b w:val="1"/>
                <w:sz w:val="20"/>
                <w:szCs w:val="20"/>
              </w:rPr>
            </w:pPr>
            <w:r w:rsidDel="00000000" w:rsidR="00000000" w:rsidRPr="00000000">
              <w:rPr>
                <w:b w:val="1"/>
                <w:sz w:val="20"/>
                <w:szCs w:val="20"/>
                <w:rtl w:val="0"/>
              </w:rPr>
              <w:t xml:space="preserve">Are you open to a solution that requires the addition of a 3rd party Software Defined Storage 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i w:val="1"/>
                <w:sz w:val="20"/>
                <w:szCs w:val="20"/>
              </w:rPr>
            </w:pPr>
            <w:r w:rsidDel="00000000" w:rsidR="00000000" w:rsidRPr="00000000">
              <w:rPr>
                <w:i w:val="1"/>
                <w:sz w:val="20"/>
                <w:szCs w:val="20"/>
                <w:rtl w:val="0"/>
              </w:rPr>
              <w:t xml:space="preserve">Red Hat is differentiated by our ability to provide customers with Choice while they implement their Alternative Virtualization suite.  We support the ability to integrate with existing investments in 3rd parties such as Storage, DR, Backup, Networking, and Hardware.  </w:t>
            </w:r>
            <w:hyperlink r:id="rId30">
              <w:r w:rsidDel="00000000" w:rsidR="00000000" w:rsidRPr="00000000">
                <w:rPr>
                  <w:i w:val="1"/>
                  <w:color w:val="1155cc"/>
                  <w:sz w:val="20"/>
                  <w:szCs w:val="20"/>
                  <w:u w:val="single"/>
                  <w:rtl w:val="0"/>
                </w:rPr>
                <w:t xml:space="preserve">Link to Catalog</w:t>
              </w:r>
            </w:hyperlink>
            <w:r w:rsidDel="00000000" w:rsidR="00000000" w:rsidRPr="00000000">
              <w:rPr>
                <w:rtl w:val="0"/>
              </w:rPr>
            </w:r>
          </w:p>
          <w:p w:rsidR="00000000" w:rsidDel="00000000" w:rsidP="00000000" w:rsidRDefault="00000000" w:rsidRPr="00000000" w14:paraId="000000D7">
            <w:pPr>
              <w:widowControl w:val="0"/>
              <w:rPr>
                <w:i w:val="1"/>
                <w:sz w:val="20"/>
                <w:szCs w:val="20"/>
              </w:rPr>
            </w:pPr>
            <w:r w:rsidDel="00000000" w:rsidR="00000000" w:rsidRPr="00000000">
              <w:rPr>
                <w:rtl w:val="0"/>
              </w:rPr>
            </w:r>
          </w:p>
          <w:p w:rsidR="00000000" w:rsidDel="00000000" w:rsidP="00000000" w:rsidRDefault="00000000" w:rsidRPr="00000000" w14:paraId="000000D8">
            <w:pPr>
              <w:widowControl w:val="0"/>
              <w:rPr>
                <w:i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b w:val="1"/>
                <w:sz w:val="20"/>
                <w:szCs w:val="20"/>
              </w:rPr>
            </w:pPr>
            <w:r w:rsidDel="00000000" w:rsidR="00000000" w:rsidRPr="00000000">
              <w:rPr>
                <w:b w:val="1"/>
                <w:sz w:val="20"/>
                <w:szCs w:val="20"/>
                <w:rtl w:val="0"/>
              </w:rPr>
              <w:t xml:space="preserve">Are you using OpenShift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i w:val="1"/>
                <w:sz w:val="20"/>
                <w:szCs w:val="20"/>
              </w:rPr>
            </w:pPr>
            <w:r w:rsidDel="00000000" w:rsidR="00000000" w:rsidRPr="00000000">
              <w:rPr>
                <w:i w:val="1"/>
                <w:sz w:val="20"/>
                <w:szCs w:val="20"/>
                <w:rtl w:val="0"/>
              </w:rPr>
              <w:t xml:space="preserve">If a customer is already using RH OpenShift successfully then leveraging that customer’s knowledge / skill can help accelerate opportunities for positioning OpenShift Virtualization. Be aware the team running OpenShift today is likely different from the team operating VMware.</w:t>
            </w:r>
          </w:p>
          <w:p w:rsidR="00000000" w:rsidDel="00000000" w:rsidP="00000000" w:rsidRDefault="00000000" w:rsidRPr="00000000" w14:paraId="000000DB">
            <w:pPr>
              <w:widowControl w:val="0"/>
              <w:rPr>
                <w:sz w:val="20"/>
                <w:szCs w:val="20"/>
              </w:rPr>
            </w:pPr>
            <w:r w:rsidDel="00000000" w:rsidR="00000000" w:rsidRPr="00000000">
              <w:rPr>
                <w:rtl w:val="0"/>
              </w:rPr>
            </w:r>
          </w:p>
          <w:p w:rsidR="00000000" w:rsidDel="00000000" w:rsidP="00000000" w:rsidRDefault="00000000" w:rsidRPr="00000000" w14:paraId="000000DC">
            <w:pPr>
              <w:widowControl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b w:val="1"/>
                <w:sz w:val="20"/>
                <w:szCs w:val="20"/>
              </w:rPr>
            </w:pPr>
            <w:r w:rsidDel="00000000" w:rsidR="00000000" w:rsidRPr="00000000">
              <w:rPr>
                <w:b w:val="1"/>
                <w:sz w:val="20"/>
                <w:szCs w:val="20"/>
                <w:rtl w:val="0"/>
              </w:rPr>
              <w:t xml:space="preserve">Are you using Ansible today for </w:t>
            </w:r>
            <w:r w:rsidDel="00000000" w:rsidR="00000000" w:rsidRPr="00000000">
              <w:rPr>
                <w:b w:val="1"/>
                <w:sz w:val="20"/>
                <w:szCs w:val="20"/>
                <w:rtl w:val="0"/>
              </w:rPr>
              <w:t xml:space="preserve">datacenter automation?</w:t>
            </w:r>
            <w:r w:rsidDel="00000000" w:rsidR="00000000" w:rsidRPr="00000000">
              <w:rPr>
                <w:rtl w:val="0"/>
              </w:rPr>
            </w:r>
          </w:p>
          <w:p w:rsidR="00000000" w:rsidDel="00000000" w:rsidP="00000000" w:rsidRDefault="00000000" w:rsidRPr="00000000" w14:paraId="000000DE">
            <w:pPr>
              <w:widowControl w:val="0"/>
              <w:rPr>
                <w:b w:val="1"/>
                <w:sz w:val="20"/>
                <w:szCs w:val="20"/>
              </w:rPr>
            </w:pPr>
            <w:r w:rsidDel="00000000" w:rsidR="00000000" w:rsidRPr="00000000">
              <w:rPr>
                <w:rtl w:val="0"/>
              </w:rPr>
            </w:r>
          </w:p>
          <w:p w:rsidR="00000000" w:rsidDel="00000000" w:rsidP="00000000" w:rsidRDefault="00000000" w:rsidRPr="00000000" w14:paraId="000000DF">
            <w:pPr>
              <w:widowControl w:val="0"/>
              <w:rPr>
                <w:b w:val="1"/>
                <w:sz w:val="20"/>
                <w:szCs w:val="20"/>
              </w:rPr>
            </w:pPr>
            <w:r w:rsidDel="00000000" w:rsidR="00000000" w:rsidRPr="00000000">
              <w:rPr>
                <w:sz w:val="20"/>
                <w:szCs w:val="20"/>
                <w:rtl w:val="0"/>
              </w:rPr>
              <w:t xml:space="preserve">(Windows/Linux configuration mgmt, network automation, capacity planning, SNOW integrations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i w:val="1"/>
                <w:sz w:val="20"/>
                <w:szCs w:val="20"/>
              </w:rPr>
            </w:pPr>
            <w:r w:rsidDel="00000000" w:rsidR="00000000" w:rsidRPr="00000000">
              <w:rPr>
                <w:i w:val="1"/>
                <w:sz w:val="20"/>
                <w:szCs w:val="20"/>
                <w:rtl w:val="0"/>
              </w:rPr>
              <w:t xml:space="preserve">If a customer is already using RH Ansible successfully then leveraging that customer’s knowledge / skill can help accelerate opportunities for positioning OpenShift Virtualization.  However, its also good to uncover what other automation tooling is being used such as VMware Aria, or other ISV product specific tooling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b w:val="1"/>
                <w:sz w:val="20"/>
                <w:szCs w:val="20"/>
              </w:rPr>
            </w:pPr>
            <w:r w:rsidDel="00000000" w:rsidR="00000000" w:rsidRPr="00000000">
              <w:rPr>
                <w:b w:val="1"/>
                <w:sz w:val="20"/>
                <w:szCs w:val="20"/>
                <w:rtl w:val="0"/>
              </w:rPr>
              <w:t xml:space="preserve">Are you</w:t>
            </w:r>
            <w:r w:rsidDel="00000000" w:rsidR="00000000" w:rsidRPr="00000000">
              <w:rPr>
                <w:b w:val="1"/>
                <w:sz w:val="20"/>
                <w:szCs w:val="20"/>
                <w:rtl w:val="0"/>
              </w:rPr>
              <w:t xml:space="preserve"> currently seeking to  modernize (refactor)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sz w:val="20"/>
                <w:szCs w:val="20"/>
              </w:rPr>
            </w:pPr>
            <w:r w:rsidDel="00000000" w:rsidR="00000000" w:rsidRPr="00000000">
              <w:rPr>
                <w:rtl w:val="0"/>
              </w:rPr>
            </w:r>
          </w:p>
        </w:tc>
      </w:tr>
    </w:tbl>
    <w:p w:rsidR="00000000" w:rsidDel="00000000" w:rsidP="00000000" w:rsidRDefault="00000000" w:rsidRPr="00000000" w14:paraId="000000E3">
      <w:pPr>
        <w:ind w:left="1440" w:firstLine="0"/>
        <w:rPr>
          <w:i w:val="1"/>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31" w:type="default"/>
      <w:footerReference r:id="rId32" w:type="default"/>
      <w:pgSz w:h="15840" w:w="12240" w:orient="portrait"/>
      <w:pgMar w:bottom="576" w:top="576"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ed Hat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pageBreakBefore w:val="0"/>
      <w:ind w:left="-1440" w:firstLine="0"/>
      <w:jc w:val="right"/>
      <w:rPr/>
    </w:pPr>
    <w:r w:rsidDel="00000000" w:rsidR="00000000" w:rsidRPr="00000000">
      <w:rPr/>
      <w:drawing>
        <wp:inline distB="114300" distT="114300" distL="114300" distR="114300">
          <wp:extent cx="1734436" cy="4143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34436" cy="4143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ed Hat Text" w:cs="Red Hat Text" w:eastAsia="Red Hat Text" w:hAnsi="Red Hat Text"/>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b w:val="1"/>
      <w:sz w:val="36"/>
      <w:szCs w:val="36"/>
    </w:rPr>
  </w:style>
  <w:style w:type="paragraph" w:styleId="Heading2">
    <w:name w:val="heading 2"/>
    <w:basedOn w:val="Normal"/>
    <w:next w:val="Normal"/>
    <w:pPr>
      <w:keepNext w:val="1"/>
      <w:keepLines w:val="1"/>
      <w:pageBreakBefore w:val="0"/>
    </w:pPr>
    <w:rPr>
      <w:rFonts w:ascii="Red Hat Text" w:cs="Red Hat Text" w:eastAsia="Red Hat Text" w:hAnsi="Red Hat Text"/>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ssues.redhat.com/browse/VIRTSTRAT-97" TargetMode="External"/><Relationship Id="rId22" Type="http://schemas.openxmlformats.org/officeDocument/2006/relationships/hyperlink" Target="https://docs.google.com/presentation/d/1Hx1Fzm1F9EkmqrmTjbMHPBAuIls-2-oK1IVrzFnW3L4/edit#slide=id.g31a64e02555_0_269" TargetMode="External"/><Relationship Id="rId21" Type="http://schemas.openxmlformats.org/officeDocument/2006/relationships/hyperlink" Target="https://github.com/openshift/enhancements/blob/master/enhancements/network/bgp-ovn-kubernetes.md" TargetMode="External"/><Relationship Id="rId24" Type="http://schemas.openxmlformats.org/officeDocument/2006/relationships/hyperlink" Target="https://docs.openshift.com/container-platform/4.14/virt/virtual_machines/advanced_vm_management/virt-enabling-descheduler-evictions.html" TargetMode="External"/><Relationship Id="rId23" Type="http://schemas.openxmlformats.org/officeDocument/2006/relationships/hyperlink" Target="https://issues.redhat.com/browse/CNV-512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okerstudio.google.com/s/uuF7FvkSXz8" TargetMode="External"/><Relationship Id="rId26" Type="http://schemas.openxmlformats.org/officeDocument/2006/relationships/hyperlink" Target="https://developers.redhat.com/blog/2025/01/31/memory-management-openshift-virtualization#" TargetMode="External"/><Relationship Id="rId25" Type="http://schemas.openxmlformats.org/officeDocument/2006/relationships/hyperlink" Target="https://issues.redhat.com/browse/VIRTSTRAT-65" TargetMode="External"/><Relationship Id="rId28" Type="http://schemas.openxmlformats.org/officeDocument/2006/relationships/hyperlink" Target="https://source.redhat.com/groups/public/businessvaluepractice" TargetMode="External"/><Relationship Id="rId27" Type="http://schemas.openxmlformats.org/officeDocument/2006/relationships/hyperlink" Target="https://github.com/kubevirt/kubevirt/issues/10609" TargetMode="External"/><Relationship Id="rId5" Type="http://schemas.openxmlformats.org/officeDocument/2006/relationships/styles" Target="styles.xml"/><Relationship Id="rId6" Type="http://schemas.openxmlformats.org/officeDocument/2006/relationships/hyperlink" Target="https://docs.google.com/document/d/1Fy14S2RXO8LhcVoP1CtUEr5HZoaXok_t_qKVjavni3U/edit?tab=t.0#heading=h.ux9ef819p981" TargetMode="External"/><Relationship Id="rId29" Type="http://schemas.openxmlformats.org/officeDocument/2006/relationships/hyperlink" Target="https://www.redhat.com/en/resources/virtualization-migration-assessment-datasheet" TargetMode="External"/><Relationship Id="rId7" Type="http://schemas.openxmlformats.org/officeDocument/2006/relationships/hyperlink" Target="https://access.redhat.com/articles/4234591" TargetMode="External"/><Relationship Id="rId8" Type="http://schemas.openxmlformats.org/officeDocument/2006/relationships/hyperlink" Target="https://docs.google.com/presentation/d/1GzLeLdyJByzzJnRto_4GW6rfPj3O4AQr0aDguz0bmNQ/edit#slide=id.g32bb3e2c85e_0_231" TargetMode="External"/><Relationship Id="rId31" Type="http://schemas.openxmlformats.org/officeDocument/2006/relationships/header" Target="header1.xml"/><Relationship Id="rId30" Type="http://schemas.openxmlformats.org/officeDocument/2006/relationships/hyperlink" Target="https://red.ht/workswithvirt" TargetMode="External"/><Relationship Id="rId11" Type="http://schemas.openxmlformats.org/officeDocument/2006/relationships/hyperlink" Target="https://access.redhat.com/articles/7041594" TargetMode="External"/><Relationship Id="rId10" Type="http://schemas.openxmlformats.org/officeDocument/2006/relationships/hyperlink" Target="https://docs.redhat.com/en/documentation/migration_toolkit_for_virtualization/2.7/html/installing_and_using_the_migration_toolkit_for_virtualization/prerequisites_mtv#prerequisites_mtv" TargetMode="External"/><Relationship Id="rId32" Type="http://schemas.openxmlformats.org/officeDocument/2006/relationships/footer" Target="footer1.xml"/><Relationship Id="rId13" Type="http://schemas.openxmlformats.org/officeDocument/2006/relationships/hyperlink" Target="https://catalog.redhat.com/search?searchType=software&amp;badges_and_features=OpenShift%20Virtualization&amp;p=1&amp;subcategories=Backup%20%26%20Recovery" TargetMode="External"/><Relationship Id="rId12" Type="http://schemas.openxmlformats.org/officeDocument/2006/relationships/hyperlink" Target="https://catalog.redhat.com/search?searchType=software&amp;badges_and_features=OpenShift+Virtualization&amp;subcategories=Storage" TargetMode="External"/><Relationship Id="rId15" Type="http://schemas.openxmlformats.org/officeDocument/2006/relationships/hyperlink" Target="https://catalog.redhat.com/search?searchType=hardware&amp;p=1&amp;certified_RedHat_Platforms=Red%20Hat%20Enterprise%20Linux%7CRed%20Hat%20OpenShift%20Container%20Platform" TargetMode="External"/><Relationship Id="rId14" Type="http://schemas.openxmlformats.org/officeDocument/2006/relationships/hyperlink" Target="https://catalog.redhat.com/search?searchType=software&amp;badges_and_features=OpenShift%20Virtualization&amp;p=1&amp;subcategories=Networking" TargetMode="External"/><Relationship Id="rId17" Type="http://schemas.openxmlformats.org/officeDocument/2006/relationships/hyperlink" Target="https://docs.google.com/document/d/1ZO3IIdS-eCbjDtKEoeQwAAqDwo34lYo9rEMR4QfdwjQ/edit?tab=t.0" TargetMode="External"/><Relationship Id="rId16" Type="http://schemas.openxmlformats.org/officeDocument/2006/relationships/hyperlink" Target="https://docs.google.com/document/d/1ALm1I1RVZyWT9_On_CmSfiSfCj3X4oTT218-wfdP4gs/edit?tab=t.0" TargetMode="External"/><Relationship Id="rId19" Type="http://schemas.openxmlformats.org/officeDocument/2006/relationships/hyperlink" Target="https://docs.redhat.com/en/documentation/openshift_container_platform/4.18/html/virtualization/managing-vms#virt-migrating-storage-class-ui_virt-migrating-storage-class" TargetMode="External"/><Relationship Id="rId18" Type="http://schemas.openxmlformats.org/officeDocument/2006/relationships/hyperlink" Target="https://docs.google.com/document/d/1ZFAN9EJDqCMwDQv1ElVIuaFwmZRcODyWA2qac5THk7Y/edit?tab=t.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edHatText-regular.ttf"/><Relationship Id="rId2" Type="http://schemas.openxmlformats.org/officeDocument/2006/relationships/font" Target="fonts/RedHatText-bold.ttf"/><Relationship Id="rId3" Type="http://schemas.openxmlformats.org/officeDocument/2006/relationships/font" Target="fonts/RedHatText-italic.ttf"/><Relationship Id="rId4" Type="http://schemas.openxmlformats.org/officeDocument/2006/relationships/font" Target="fonts/RedHatTex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