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ind w:left="0" w:right="3775"/>
      </w:pPr>
      <w:r>
        <w:drawing>
          <wp:anchor distT="0" distB="0" distL="114300" distR="0" simplePos="0" relativeHeight="251658240" behindDoc="0" locked="0" layoutInCell="1" allowOverlap="1">
            <wp:simplePos x="0" y="0"/>
            <wp:positionH relativeFrom="margin">
              <wp:align>right</wp:align>
            </wp:positionH>
            <wp:positionV relativeFrom="paragraph">
              <wp:posOffset>36000</wp:posOffset>
            </wp:positionV>
            <wp:extent cx="1368000" cy="1036209"/>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hoto_header.png"/>
                    <pic:cNvPicPr/>
                  </pic:nvPicPr>
                  <pic:blipFill>
                    <a:blip r:embed="rId9"/>
                    <a:stretch>
                      <a:fillRect/>
                    </a:stretch>
                  </pic:blipFill>
                  <pic:spPr>
                    <a:xfrm>
                      <a:off x="0" y="0"/>
                      <a:ext cx="1368000" cy="1036209"/>
                    </a:xfrm>
                    <a:prstGeom prst="rect"/>
                  </pic:spPr>
                </pic:pic>
              </a:graphicData>
            </a:graphic>
          </wp:anchor>
        </w:drawing>
      </w:r>
      <w:r>
        <w:rPr>
          <w:rFonts w:ascii="Times New Roman" w:hAnsi="Times New Roman" w:eastAsia="Times New Roman"/>
          <w:b/>
          <w:i w:val="0"/>
          <w:color w:val="000000"/>
          <w:sz w:val="23"/>
          <w:u w:val="none"/>
        </w:rPr>
        <w:t>CHARGÉ DE PROJETS IA | TRANSFORMATION DIGITALE</w:t>
      </w:r>
    </w:p>
    <w:p>
      <w:pPr>
        <w:keepNext w:val="0"/>
        <w:spacing w:before="120" w:after="20" w:line="240" w:lineRule="auto"/>
        <w:ind w:left="0" w:right="3775"/>
      </w:pPr>
      <w:r>
        <w:rPr>
          <w:rFonts w:ascii="Times New Roman" w:hAnsi="Times New Roman" w:eastAsia="Times New Roman"/>
          <w:b/>
          <w:i w:val="0"/>
          <w:color w:val="000000"/>
          <w:sz w:val="20"/>
          <w:u w:val="none"/>
        </w:rPr>
        <w:t>NICOLAS QI GUO</w:t>
      </w:r>
    </w:p>
    <w:p>
      <w:pPr>
        <w:keepNext w:val="0"/>
        <w:spacing w:before="0" w:after="0" w:line="240" w:lineRule="auto"/>
        <w:ind w:left="0" w:right="3775"/>
      </w:pPr>
      <w:r>
        <w:rPr>
          <w:rFonts w:ascii="Times New Roman" w:hAnsi="Times New Roman" w:eastAsia="Times New Roman"/>
          <w:b w:val="0"/>
          <w:i w:val="0"/>
          <w:color w:val="000000"/>
          <w:sz w:val="18"/>
          <w:u w:val="none"/>
        </w:rPr>
        <w:t>Orléans, France | Mobilité Île-de-France</w:t>
      </w:r>
    </w:p>
    <w:p>
      <w:pPr>
        <w:keepNext w:val="0"/>
        <w:spacing w:before="0" w:after="0" w:line="240" w:lineRule="auto"/>
        <w:ind w:left="0" w:right="3775"/>
      </w:pPr>
      <w:r>
        <w:rPr>
          <w:rFonts w:ascii="Times New Roman" w:hAnsi="Times New Roman" w:eastAsia="Times New Roman"/>
          <w:b w:val="0"/>
          <w:i w:val="0"/>
          <w:color w:val="000000"/>
          <w:sz w:val="18"/>
          <w:u w:val="none"/>
        </w:rPr>
        <w:t>+33 6 30 23 24 41 | qi.guo@essec.edu</w:t>
      </w:r>
    </w:p>
    <w:p>
      <w:pPr>
        <w:keepNext w:val="0"/>
        <w:spacing w:before="140" w:after="0" w:line="240" w:lineRule="auto"/>
        <w:ind w:left="0" w:right="3775"/>
        <w:jc w:val="both"/>
      </w:pPr>
      <w:r>
        <w:rPr>
          <w:rFonts w:ascii="Times New Roman" w:hAnsi="Times New Roman" w:eastAsia="Times New Roman"/>
          <w:b/>
          <w:i w:val="0"/>
          <w:color w:val="000000"/>
          <w:sz w:val="19"/>
          <w:u w:val="none"/>
        </w:rPr>
        <w:t xml:space="preserve">Profil : </w:t>
      </w:r>
      <w:r>
        <w:rPr>
          <w:rFonts w:ascii="Times New Roman" w:hAnsi="Times New Roman" w:eastAsia="Times New Roman"/>
          <w:b w:val="0"/>
          <w:i w:val="0"/>
          <w:color w:val="000000"/>
          <w:sz w:val="19"/>
          <w:u w:val="none"/>
        </w:rPr>
        <w:t>3 ans d'expérience au sein de grands groupes (BNP Paribas, La Poste). Identification, qualification et priorisation de cas d'usage IA, coordination métiers, IT et experts IA, accompagnement du déploiement et conduite du changement à grande échelle. Formation en informatique et management des SI.</w:t>
      </w:r>
    </w:p>
    <w:p>
      <w:pPr>
        <w:keepNext w:val="0"/>
        <w:spacing w:before="240" w:after="140" w:line="24" w:lineRule="auto"/>
        <w:pBdr>
          <w:bottom w:val="single" w:sz="4" w:space="1" w:color="A6A6A6"/>
        </w:pBdr>
      </w:pPr>
      <w:r>
        <w:rPr>
          <w:rFonts w:ascii="Times New Roman" w:hAnsi="Times New Roman" w:eastAsia="Times New Roman"/>
          <w:b w:val="0"/>
          <w:i w:val="0"/>
          <w:color w:val="000000"/>
          <w:sz w:val="4"/>
          <w:u w:val="none"/>
        </w:rPr>
      </w:r>
    </w:p>
    <w:p>
      <w:pPr>
        <w:keepNext/>
        <w:spacing w:before="0" w:after="100" w:line="240" w:lineRule="auto"/>
      </w:pPr>
      <w:r>
        <w:rPr>
          <w:rFonts w:ascii="Times New Roman" w:hAnsi="Times New Roman" w:eastAsia="Times New Roman"/>
          <w:b w:val="0"/>
          <w:i w:val="0"/>
          <w:color w:val="000000"/>
          <w:sz w:val="19"/>
          <w:u w:val="none"/>
        </w:rPr>
        <w:t>EXPÉRIENCES PROFESSIONNELLES</w:t>
      </w:r>
    </w:p>
    <w:p>
      <w:pPr>
        <w:keepNext/>
        <w:tabs>
          <w:tab w:pos="822" w:val="center"/>
          <w:tab w:pos="1814" w:val="left"/>
        </w:tabs>
        <w:spacing w:before="0" w:after="0" w:line="240" w:lineRule="auto"/>
        <w:ind w:left="1814" w:hanging="1814"/>
      </w:pPr>
      <w:r>
        <w:rPr>
          <w:rFonts w:ascii="Times New Roman" w:hAnsi="Times New Roman" w:eastAsia="Times New Roman"/>
          <w:b w:val="0"/>
          <w:i w:val="0"/>
          <w:color w:val="000000"/>
          <w:sz w:val="19"/>
          <w:u w:val="none"/>
        </w:rPr>
        <w:tab/>
        <w:t>2024 – 2025</w:t>
        <w:tab/>
      </w:r>
      <w:r>
        <w:rPr>
          <w:rFonts w:ascii="Times New Roman" w:hAnsi="Times New Roman" w:eastAsia="Times New Roman"/>
          <w:b/>
          <w:i w:val="0"/>
          <w:color w:val="000000"/>
          <w:sz w:val="19"/>
          <w:u w:val="none"/>
        </w:rPr>
        <w:t>Digital Transformation Project Manager – AIR TECH @ BNP PARIBAS</w:t>
      </w:r>
    </w:p>
    <w:p>
      <w:pPr>
        <w:keepNext/>
        <w:tabs>
          <w:tab w:pos="822" w:val="center"/>
          <w:tab w:pos="1814" w:val="left"/>
        </w:tabs>
        <w:spacing w:before="0" w:after="40" w:line="240" w:lineRule="auto"/>
        <w:ind w:left="1814" w:hanging="1814"/>
      </w:pPr>
      <w:r>
        <w:rPr>
          <w:rFonts w:ascii="Times New Roman" w:hAnsi="Times New Roman" w:eastAsia="Times New Roman"/>
          <w:b w:val="0"/>
          <w:i w:val="0"/>
          <w:color w:val="000000"/>
          <w:sz w:val="19"/>
          <w:u w:val="none"/>
        </w:rPr>
        <w:tab/>
      </w:r>
      <w:r>
        <w:rPr>
          <w:rFonts w:ascii="Times New Roman" w:hAnsi="Times New Roman" w:eastAsia="Times New Roman"/>
          <w:b w:val="0"/>
          <w:i/>
          <w:color w:val="000000"/>
          <w:sz w:val="17"/>
          <w:u w:val="none"/>
        </w:rPr>
        <w:t>Alternance</w:t>
      </w:r>
      <w:r>
        <w:rPr>
          <w:rFonts w:ascii="Times New Roman" w:hAnsi="Times New Roman" w:eastAsia="Times New Roman"/>
          <w:b w:val="0"/>
          <w:i w:val="0"/>
          <w:color w:val="000000"/>
          <w:sz w:val="19"/>
          <w:u w:val="none"/>
        </w:rPr>
        <w:tab/>
      </w:r>
      <w:r>
        <w:rPr>
          <w:rFonts w:ascii="Times New Roman" w:hAnsi="Times New Roman" w:eastAsia="Times New Roman"/>
          <w:b w:val="0"/>
          <w:i/>
          <w:color w:val="000000"/>
          <w:sz w:val="18"/>
          <w:u w:val="none"/>
        </w:rPr>
        <w:t>Périmètre : Compliance &amp; Risk (AML, sanctions, contrôle et monitoring, sécurité financière)</w:t>
      </w:r>
    </w:p>
    <w:p>
      <w:pPr>
        <w:keepNext w:val="0"/>
        <w:tabs>
          <w:tab w:pos="2069" w:val="left"/>
        </w:tabs>
        <w:spacing w:before="0" w:after="4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 xml:space="preserve">Structuration et coordination des initiatives IA &amp; RPA : </w:t>
      </w:r>
      <w:r>
        <w:rPr>
          <w:rFonts w:ascii="Times New Roman" w:hAnsi="Times New Roman" w:eastAsia="Times New Roman"/>
          <w:b w:val="0"/>
          <w:i w:val="0"/>
          <w:color w:val="000000"/>
          <w:sz w:val="19"/>
          <w:u w:val="none"/>
        </w:rPr>
        <w:t>conception et mise en place d'un dispositif de collecte, de qualification (valeur, ROI, faisabilité) et de priorisation des use cases jusqu'au comité d'arbitrage ; 20+ use cases identifiés, 3 lancés en projet</w:t>
      </w:r>
    </w:p>
    <w:p>
      <w:pPr>
        <w:keepNext w:val="0"/>
        <w:tabs>
          <w:tab w:pos="2069" w:val="left"/>
        </w:tabs>
        <w:spacing w:before="0" w:after="4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 xml:space="preserve">Pilotage et gouvernance des projets IA : </w:t>
      </w:r>
      <w:r>
        <w:rPr>
          <w:rFonts w:ascii="Times New Roman" w:hAnsi="Times New Roman" w:eastAsia="Times New Roman"/>
          <w:b w:val="0"/>
          <w:i w:val="0"/>
          <w:color w:val="000000"/>
          <w:sz w:val="19"/>
          <w:u w:val="none"/>
        </w:rPr>
        <w:t>cadrage des besoins avec les métiers, coordination métiers, IT et experts IA, conduite de POC, accompagnement du déploiement de 3 solutions IA (GenAI, RAG, Microsoft 365 Copilot) et reporting auprès des instances de gouvernance</w:t>
      </w:r>
    </w:p>
    <w:p>
      <w:pPr>
        <w:keepNext w:val="0"/>
        <w:tabs>
          <w:tab w:pos="2069" w:val="left"/>
        </w:tabs>
        <w:spacing w:before="0" w:after="4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 xml:space="preserve">Conduite du changement </w:t>
      </w:r>
      <w:r>
        <w:rPr>
          <w:rFonts w:ascii="Times New Roman" w:hAnsi="Times New Roman" w:eastAsia="Times New Roman"/>
          <w:b w:val="0"/>
          <w:i w:val="0"/>
          <w:color w:val="000000"/>
          <w:sz w:val="19"/>
          <w:u w:val="none"/>
        </w:rPr>
        <w:t>dans le cadre d'un programme IA transverse (5 000+ collaborateurs) : acculturation, supports pédagogiques, site SharePoint dédié, animation de 70+ ambassadeurs IA</w:t>
      </w:r>
    </w:p>
    <w:p>
      <w:pPr>
        <w:keepNext/>
        <w:tabs>
          <w:tab w:pos="822" w:val="center"/>
          <w:tab w:pos="1814" w:val="left"/>
        </w:tabs>
        <w:spacing w:before="180" w:after="0" w:line="240" w:lineRule="auto"/>
        <w:ind w:left="1814" w:hanging="1814"/>
      </w:pPr>
      <w:r>
        <w:rPr>
          <w:rFonts w:ascii="Times New Roman" w:hAnsi="Times New Roman" w:eastAsia="Times New Roman"/>
          <w:b w:val="0"/>
          <w:i w:val="0"/>
          <w:color w:val="000000"/>
          <w:sz w:val="19"/>
          <w:u w:val="none"/>
        </w:rPr>
        <w:tab/>
        <w:t>2022 – 2024</w:t>
        <w:tab/>
      </w:r>
      <w:r>
        <w:rPr>
          <w:rFonts w:ascii="Times New Roman" w:hAnsi="Times New Roman" w:eastAsia="Times New Roman"/>
          <w:b/>
          <w:i w:val="0"/>
          <w:color w:val="000000"/>
          <w:sz w:val="19"/>
          <w:u w:val="none"/>
        </w:rPr>
        <w:t>Chef de Projet SI – Data Intelligence &amp; Innovation DTSFG @ LA POSTE GROUPE</w:t>
      </w:r>
    </w:p>
    <w:p>
      <w:pPr>
        <w:keepNext/>
        <w:tabs>
          <w:tab w:pos="822" w:val="center"/>
          <w:tab w:pos="1814" w:val="left"/>
        </w:tabs>
        <w:spacing w:before="0" w:after="40" w:line="240" w:lineRule="auto"/>
        <w:ind w:left="1814" w:hanging="1814"/>
      </w:pPr>
      <w:r>
        <w:rPr>
          <w:rFonts w:ascii="Times New Roman" w:hAnsi="Times New Roman" w:eastAsia="Times New Roman"/>
          <w:b w:val="0"/>
          <w:i w:val="0"/>
          <w:color w:val="000000"/>
          <w:sz w:val="19"/>
          <w:u w:val="none"/>
        </w:rPr>
        <w:tab/>
      </w:r>
      <w:r>
        <w:rPr>
          <w:rFonts w:ascii="Times New Roman" w:hAnsi="Times New Roman" w:eastAsia="Times New Roman"/>
          <w:b w:val="0"/>
          <w:i/>
          <w:color w:val="000000"/>
          <w:sz w:val="17"/>
          <w:u w:val="none"/>
        </w:rPr>
        <w:t>Alternance + CDD</w:t>
      </w:r>
      <w:r>
        <w:rPr>
          <w:rFonts w:ascii="Times New Roman" w:hAnsi="Times New Roman" w:eastAsia="Times New Roman"/>
          <w:b w:val="0"/>
          <w:i w:val="0"/>
          <w:color w:val="000000"/>
          <w:sz w:val="19"/>
          <w:u w:val="none"/>
        </w:rPr>
        <w:tab/>
      </w:r>
      <w:r>
        <w:rPr>
          <w:rFonts w:ascii="Times New Roman" w:hAnsi="Times New Roman" w:eastAsia="Times New Roman"/>
          <w:b w:val="0"/>
          <w:i/>
          <w:color w:val="000000"/>
          <w:sz w:val="18"/>
          <w:u w:val="none"/>
        </w:rPr>
        <w:t>Périmètre : Direction de la Transformation des Solutions Finance (SI Finance, SIRH, SAP)</w:t>
      </w:r>
    </w:p>
    <w:p>
      <w:pPr>
        <w:keepNext w:val="0"/>
        <w:tabs>
          <w:tab w:pos="2069" w:val="left"/>
        </w:tabs>
        <w:spacing w:before="0" w:after="2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Pilotage de projets d'automatisation (RPA &amp; Power Platform), dont 2 de bout en bout :</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Recueil et analyse des besoins métiers, rédaction des cahiers des charges et spécifications fonctionnelles et techniques</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Coordination Métiers–IT pour la coconception des solutions</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Pilotage du développement, de la recette et de la mise en production</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Gestion des risques et animation des instances projets (COSUI, COPIL)</w:t>
      </w:r>
    </w:p>
    <w:p>
      <w:pPr>
        <w:keepNext w:val="0"/>
        <w:tabs>
          <w:tab w:pos="2381" w:val="left"/>
        </w:tabs>
        <w:spacing w:before="0" w:after="4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Accompagnement du déploiement auprès des fonctions Finance et RH</w:t>
      </w:r>
    </w:p>
    <w:p>
      <w:pPr>
        <w:keepNext w:val="0"/>
        <w:tabs>
          <w:tab w:pos="2069" w:val="left"/>
        </w:tabs>
        <w:spacing w:before="0" w:after="2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i w:val="0"/>
          <w:color w:val="000000"/>
          <w:sz w:val="19"/>
          <w:u w:val="none"/>
        </w:rPr>
        <w:t>Pilotage du RUN :</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Monitoring quotidien d'une dizaine de robots en production et gestion des incidents</w:t>
      </w:r>
    </w:p>
    <w:p>
      <w:pPr>
        <w:keepNext w:val="0"/>
        <w:tabs>
          <w:tab w:pos="2381" w:val="left"/>
        </w:tabs>
        <w:spacing w:before="0" w:after="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Suivi de la performance des solutions déployées (ROI, fiabilité, adoption)</w:t>
      </w:r>
    </w:p>
    <w:p>
      <w:pPr>
        <w:keepNext w:val="0"/>
        <w:tabs>
          <w:tab w:pos="2381" w:val="left"/>
        </w:tabs>
        <w:spacing w:before="0" w:after="40" w:line="240" w:lineRule="auto"/>
        <w:ind w:left="2381" w:hanging="227"/>
      </w:pPr>
      <w:r>
        <w:rPr>
          <w:rFonts w:ascii="Times New Roman" w:hAnsi="Times New Roman" w:eastAsia="Times New Roman"/>
          <w:b w:val="0"/>
          <w:i w:val="0"/>
          <w:color w:val="000000"/>
          <w:sz w:val="15"/>
          <w:u w:val="none"/>
        </w:rPr>
        <w:t>▪</w:t>
        <w:tab/>
      </w:r>
      <w:r>
        <w:rPr>
          <w:rFonts w:ascii="Times New Roman" w:hAnsi="Times New Roman" w:eastAsia="Times New Roman"/>
          <w:b w:val="0"/>
          <w:i w:val="0"/>
          <w:color w:val="000000"/>
          <w:sz w:val="19"/>
          <w:u w:val="none"/>
        </w:rPr>
        <w:t>Identification et mise en œuvre d'axes d'amélioration continue</w:t>
      </w:r>
    </w:p>
    <w:p>
      <w:pPr>
        <w:keepNext/>
        <w:tabs>
          <w:tab w:pos="822" w:val="center"/>
          <w:tab w:pos="1814" w:val="left"/>
        </w:tabs>
        <w:spacing w:before="180" w:after="40" w:line="240" w:lineRule="auto"/>
        <w:ind w:left="1814" w:hanging="1814"/>
      </w:pPr>
      <w:r>
        <w:rPr>
          <w:rFonts w:ascii="Times New Roman" w:hAnsi="Times New Roman" w:eastAsia="Times New Roman"/>
          <w:b w:val="0"/>
          <w:i w:val="0"/>
          <w:color w:val="000000"/>
          <w:sz w:val="19"/>
          <w:u w:val="none"/>
        </w:rPr>
        <w:tab/>
        <w:t>2018 – 2022</w:t>
        <w:tab/>
      </w:r>
      <w:r>
        <w:rPr>
          <w:rFonts w:ascii="Times New Roman" w:hAnsi="Times New Roman" w:eastAsia="Times New Roman"/>
          <w:b/>
          <w:i w:val="0"/>
          <w:color w:val="000000"/>
          <w:sz w:val="19"/>
          <w:u w:val="none"/>
        </w:rPr>
        <w:t>Retail &amp; VIP Guest Relations @ LOUIS VUITTON</w:t>
      </w:r>
    </w:p>
    <w:p>
      <w:pPr>
        <w:keepNext w:val="0"/>
        <w:tabs>
          <w:tab w:pos="2069" w:val="left"/>
        </w:tabs>
        <w:spacing w:before="0" w:after="40" w:line="240" w:lineRule="auto"/>
        <w:ind w:left="2069" w:hanging="227"/>
      </w:pPr>
      <w:r>
        <w:rPr>
          <w:rFonts w:ascii="Times New Roman" w:hAnsi="Times New Roman" w:eastAsia="Times New Roman"/>
          <w:b w:val="0"/>
          <w:i w:val="0"/>
          <w:color w:val="000000"/>
          <w:sz w:val="19"/>
          <w:u w:val="none"/>
        </w:rPr>
        <w:t>•</w:t>
        <w:tab/>
      </w:r>
      <w:r>
        <w:rPr>
          <w:rFonts w:ascii="Times New Roman" w:hAnsi="Times New Roman" w:eastAsia="Times New Roman"/>
          <w:b w:val="0"/>
          <w:i w:val="0"/>
          <w:color w:val="000000"/>
          <w:sz w:val="19"/>
          <w:u w:val="none"/>
        </w:rPr>
        <w:t>Gestion d'une clientèle VIP internationale : sens du service et adaptation en contexte multiculturel</w:t>
      </w:r>
    </w:p>
    <w:p>
      <w:pPr>
        <w:keepNext w:val="0"/>
        <w:spacing w:before="200" w:after="160" w:line="24" w:lineRule="auto"/>
        <w:ind w:right="8391"/>
        <w:pBdr>
          <w:bottom w:val="single" w:sz="4" w:space="1" w:color="A6A6A6"/>
        </w:pBdr>
      </w:pPr>
      <w:r>
        <w:rPr>
          <w:rFonts w:ascii="Times New Roman" w:hAnsi="Times New Roman" w:eastAsia="Times New Roman"/>
          <w:b w:val="0"/>
          <w:i w:val="0"/>
          <w:color w:val="000000"/>
          <w:sz w:val="4"/>
          <w:u w:val="none"/>
        </w:rPr>
      </w:r>
    </w:p>
    <w:p>
      <w:pPr>
        <w:keepNext/>
        <w:spacing w:before="0" w:after="100" w:line="240" w:lineRule="auto"/>
      </w:pPr>
      <w:r>
        <w:rPr>
          <w:rFonts w:ascii="Times New Roman" w:hAnsi="Times New Roman" w:eastAsia="Times New Roman"/>
          <w:b w:val="0"/>
          <w:i w:val="0"/>
          <w:color w:val="000000"/>
          <w:sz w:val="19"/>
          <w:u w:val="none"/>
        </w:rPr>
        <w:t>FORMATION</w:t>
      </w:r>
    </w:p>
    <w:p>
      <w:pPr>
        <w:keepNext/>
        <w:tabs>
          <w:tab w:pos="822" w:val="center"/>
          <w:tab w:pos="1814" w:val="left"/>
        </w:tabs>
        <w:spacing w:before="0" w:after="0" w:line="240" w:lineRule="auto"/>
        <w:ind w:left="1814" w:hanging="1814"/>
      </w:pPr>
      <w:r>
        <w:rPr>
          <w:rFonts w:ascii="Times New Roman" w:hAnsi="Times New Roman" w:eastAsia="Times New Roman"/>
          <w:b w:val="0"/>
          <w:i w:val="0"/>
          <w:color w:val="000000"/>
          <w:sz w:val="19"/>
          <w:u w:val="none"/>
        </w:rPr>
        <w:tab/>
        <w:t>2024 – 2025</w:t>
        <w:tab/>
      </w:r>
      <w:r>
        <w:rPr>
          <w:rFonts w:ascii="Times New Roman" w:hAnsi="Times New Roman" w:eastAsia="Times New Roman"/>
          <w:b/>
          <w:i w:val="0"/>
          <w:color w:val="000000"/>
          <w:sz w:val="19"/>
          <w:u w:val="none"/>
        </w:rPr>
        <w:t>Mastère spécialisé en Management des Systèmes d'Information en Réseaux</w:t>
      </w:r>
      <w:r>
        <w:rPr>
          <w:rFonts w:ascii="Times New Roman" w:hAnsi="Times New Roman" w:eastAsia="Times New Roman"/>
          <w:b w:val="0"/>
          <w:i w:val="0"/>
          <w:color w:val="000000"/>
          <w:sz w:val="19"/>
          <w:u w:val="none"/>
        </w:rPr>
        <w:t xml:space="preserve"> – Major de promotion</w:t>
      </w:r>
    </w:p>
    <w:p>
      <w:pPr>
        <w:keepNext w:val="0"/>
        <w:spacing w:before="0" w:after="0" w:line="240" w:lineRule="auto"/>
        <w:ind w:left="1814"/>
      </w:pPr>
      <w:r>
        <w:rPr>
          <w:rFonts w:ascii="Times New Roman" w:hAnsi="Times New Roman" w:eastAsia="Times New Roman"/>
          <w:b w:val="0"/>
          <w:i w:val="0"/>
          <w:color w:val="000000"/>
          <w:sz w:val="19"/>
          <w:u w:val="none"/>
        </w:rPr>
        <w:t>ESSEC Business School &amp; Télécom Paris</w:t>
      </w:r>
    </w:p>
    <w:p>
      <w:pPr>
        <w:keepNext/>
        <w:tabs>
          <w:tab w:pos="822" w:val="center"/>
          <w:tab w:pos="1814" w:val="left"/>
        </w:tabs>
        <w:spacing w:before="80" w:after="0" w:line="240" w:lineRule="auto"/>
        <w:ind w:left="1814" w:hanging="1814"/>
      </w:pPr>
      <w:r>
        <w:rPr>
          <w:rFonts w:ascii="Times New Roman" w:hAnsi="Times New Roman" w:eastAsia="Times New Roman"/>
          <w:b w:val="0"/>
          <w:i w:val="0"/>
          <w:color w:val="000000"/>
          <w:sz w:val="19"/>
          <w:u w:val="none"/>
        </w:rPr>
        <w:tab/>
        <w:t>2022 – 2023</w:t>
        <w:tab/>
      </w:r>
      <w:r>
        <w:rPr>
          <w:rFonts w:ascii="Times New Roman" w:hAnsi="Times New Roman" w:eastAsia="Times New Roman"/>
          <w:b/>
          <w:i w:val="0"/>
          <w:color w:val="000000"/>
          <w:sz w:val="19"/>
          <w:u w:val="none"/>
        </w:rPr>
        <w:t>Master 2 en Projets Informatiques et Stratégie d'entreprise</w:t>
      </w:r>
      <w:r>
        <w:rPr>
          <w:rFonts w:ascii="Times New Roman" w:hAnsi="Times New Roman" w:eastAsia="Times New Roman"/>
          <w:b w:val="0"/>
          <w:i w:val="0"/>
          <w:color w:val="000000"/>
          <w:sz w:val="19"/>
          <w:u w:val="none"/>
        </w:rPr>
        <w:t xml:space="preserve"> – Major de promotion</w:t>
      </w:r>
    </w:p>
    <w:p>
      <w:pPr>
        <w:keepNext w:val="0"/>
        <w:spacing w:before="0" w:after="0" w:line="240" w:lineRule="auto"/>
        <w:ind w:left="1814"/>
      </w:pPr>
      <w:r>
        <w:rPr>
          <w:rFonts w:ascii="Times New Roman" w:hAnsi="Times New Roman" w:eastAsia="Times New Roman"/>
          <w:b w:val="0"/>
          <w:i w:val="0"/>
          <w:color w:val="000000"/>
          <w:sz w:val="19"/>
          <w:u w:val="none"/>
        </w:rPr>
        <w:t>Université Paris Cité</w:t>
      </w:r>
    </w:p>
    <w:p>
      <w:pPr>
        <w:keepNext/>
        <w:tabs>
          <w:tab w:pos="822" w:val="center"/>
          <w:tab w:pos="1814" w:val="left"/>
        </w:tabs>
        <w:spacing w:before="80" w:after="0" w:line="240" w:lineRule="auto"/>
        <w:ind w:left="1814" w:hanging="1814"/>
      </w:pPr>
      <w:r>
        <w:rPr>
          <w:rFonts w:ascii="Times New Roman" w:hAnsi="Times New Roman" w:eastAsia="Times New Roman"/>
          <w:b w:val="0"/>
          <w:i w:val="0"/>
          <w:color w:val="000000"/>
          <w:sz w:val="19"/>
          <w:u w:val="none"/>
        </w:rPr>
        <w:tab/>
        <w:t>Avant 2016</w:t>
        <w:tab/>
      </w:r>
      <w:r>
        <w:rPr>
          <w:rFonts w:ascii="Times New Roman" w:hAnsi="Times New Roman" w:eastAsia="Times New Roman"/>
          <w:b/>
          <w:i w:val="0"/>
          <w:color w:val="000000"/>
          <w:sz w:val="19"/>
          <w:u w:val="none"/>
        </w:rPr>
        <w:t>Master en Littératures Françaises</w:t>
      </w:r>
      <w:r>
        <w:rPr>
          <w:rFonts w:ascii="Times New Roman" w:hAnsi="Times New Roman" w:eastAsia="Times New Roman"/>
          <w:b w:val="0"/>
          <w:i w:val="0"/>
          <w:color w:val="000000"/>
          <w:sz w:val="19"/>
          <w:u w:val="none"/>
        </w:rPr>
        <w:t xml:space="preserve"> – Université Paris-Sorbonne</w:t>
      </w:r>
    </w:p>
    <w:p>
      <w:pPr>
        <w:keepNext/>
        <w:tabs>
          <w:tab w:pos="822" w:val="center"/>
          <w:tab w:pos="1814" w:val="left"/>
        </w:tabs>
        <w:spacing w:before="0" w:after="0" w:line="240" w:lineRule="auto"/>
        <w:ind w:left="1814" w:hanging="1814"/>
      </w:pPr>
      <w:r>
        <w:rPr>
          <w:rFonts w:ascii="Times New Roman" w:hAnsi="Times New Roman" w:eastAsia="Times New Roman"/>
          <w:b w:val="0"/>
          <w:i w:val="0"/>
          <w:color w:val="000000"/>
          <w:sz w:val="19"/>
          <w:u w:val="none"/>
        </w:rPr>
        <w:tab/>
        <w:tab/>
      </w:r>
      <w:r>
        <w:rPr>
          <w:rFonts w:ascii="Times New Roman" w:hAnsi="Times New Roman" w:eastAsia="Times New Roman"/>
          <w:b/>
          <w:i w:val="0"/>
          <w:color w:val="000000"/>
          <w:sz w:val="19"/>
          <w:u w:val="none"/>
        </w:rPr>
        <w:t>Licence en Langue Française</w:t>
      </w:r>
      <w:r>
        <w:rPr>
          <w:rFonts w:ascii="Times New Roman" w:hAnsi="Times New Roman" w:eastAsia="Times New Roman"/>
          <w:b w:val="0"/>
          <w:i w:val="0"/>
          <w:color w:val="000000"/>
          <w:sz w:val="19"/>
          <w:u w:val="none"/>
        </w:rPr>
        <w:t xml:space="preserve"> – Xi'an JiaoTong University, Chine</w:t>
      </w:r>
    </w:p>
    <w:p>
      <w:pPr>
        <w:keepNext w:val="0"/>
        <w:spacing w:before="200" w:after="160" w:line="24" w:lineRule="auto"/>
        <w:ind w:right="8391"/>
        <w:pBdr>
          <w:bottom w:val="single" w:sz="4" w:space="1" w:color="A6A6A6"/>
        </w:pBdr>
      </w:pPr>
      <w:r>
        <w:rPr>
          <w:rFonts w:ascii="Times New Roman" w:hAnsi="Times New Roman" w:eastAsia="Times New Roman"/>
          <w:b w:val="0"/>
          <w:i w:val="0"/>
          <w:color w:val="000000"/>
          <w:sz w:val="4"/>
          <w:u w:val="none"/>
        </w:rPr>
      </w:r>
    </w:p>
    <w:p>
      <w:pPr>
        <w:keepNext w:val="0"/>
        <w:tabs>
          <w:tab w:pos="1814" w:val="left"/>
          <w:tab w:pos="3685" w:val="left"/>
        </w:tabs>
        <w:spacing w:before="0" w:after="40" w:line="240" w:lineRule="auto"/>
        <w:ind w:left="3685" w:hanging="3685"/>
      </w:pPr>
      <w:r>
        <w:rPr>
          <w:rFonts w:ascii="Times New Roman" w:hAnsi="Times New Roman" w:eastAsia="Times New Roman"/>
          <w:b w:val="0"/>
          <w:i w:val="0"/>
          <w:color w:val="000000"/>
          <w:sz w:val="19"/>
          <w:u w:val="none"/>
        </w:rPr>
        <w:t>COMPÉTENCES</w:t>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Gestion de projet :</w:t>
      </w:r>
      <w:r>
        <w:rPr>
          <w:rFonts w:ascii="Times New Roman" w:hAnsi="Times New Roman" w:eastAsia="Times New Roman"/>
          <w:b w:val="0"/>
          <w:i w:val="0"/>
          <w:color w:val="000000"/>
          <w:sz w:val="19"/>
          <w:u w:val="none"/>
        </w:rPr>
        <w:tab/>
        <w:t>Cadrage, recueil des besoins, spécifications, recette, mise en production</w:t>
        <w:br/>
        <w:t>Gouvernance (COPIL / COSUI), risques, KPI – Cycle en V, hybride, Agile (notions)</w:t>
      </w:r>
    </w:p>
    <w:p>
      <w:pPr>
        <w:keepNext w:val="0"/>
        <w:tabs>
          <w:tab w:pos="1814" w:val="left"/>
          <w:tab w:pos="3685" w:val="left"/>
        </w:tabs>
        <w:spacing w:before="0" w:after="4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IA &amp; outils :</w:t>
      </w:r>
      <w:r>
        <w:rPr>
          <w:rFonts w:ascii="Times New Roman" w:hAnsi="Times New Roman" w:eastAsia="Times New Roman"/>
          <w:b w:val="0"/>
          <w:i w:val="0"/>
          <w:color w:val="000000"/>
          <w:sz w:val="19"/>
          <w:u w:val="none"/>
        </w:rPr>
        <w:tab/>
        <w:t>GenAI, RAG, Microsoft 365 Copilot, RPA, Power Platform, SharePoint</w:t>
      </w:r>
    </w:p>
    <w:p>
      <w:pPr>
        <w:keepNext w:val="0"/>
        <w:tabs>
          <w:tab w:pos="1814" w:val="left"/>
          <w:tab w:pos="3685" w:val="left"/>
        </w:tabs>
        <w:spacing w:before="0" w:after="4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Environnement SI :</w:t>
      </w:r>
      <w:r>
        <w:rPr>
          <w:rFonts w:ascii="Times New Roman" w:hAnsi="Times New Roman" w:eastAsia="Times New Roman"/>
          <w:b w:val="0"/>
          <w:i w:val="0"/>
          <w:color w:val="000000"/>
          <w:sz w:val="19"/>
          <w:u w:val="none"/>
        </w:rPr>
        <w:tab/>
        <w:t>SI Finance, SAP, intégration applicative, sécurité, conformité et gouvernance des SI</w:t>
      </w:r>
    </w:p>
    <w:p>
      <w:pPr>
        <w:keepNext w:val="0"/>
        <w:tabs>
          <w:tab w:pos="1814" w:val="left"/>
          <w:tab w:pos="3685" w:val="left"/>
        </w:tabs>
        <w:spacing w:before="0" w:after="4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Langages (notions) :</w:t>
      </w:r>
      <w:r>
        <w:rPr>
          <w:rFonts w:ascii="Times New Roman" w:hAnsi="Times New Roman" w:eastAsia="Times New Roman"/>
          <w:b w:val="0"/>
          <w:i w:val="0"/>
          <w:color w:val="000000"/>
          <w:sz w:val="19"/>
          <w:u w:val="none"/>
        </w:rPr>
        <w:tab/>
        <w:t>Python, SQL, Java, PHP, HTML/CSS, C, C#</w:t>
      </w:r>
    </w:p>
    <w:p>
      <w:pPr>
        <w:keepNext w:val="0"/>
        <w:spacing w:before="200" w:after="160" w:line="24" w:lineRule="auto"/>
        <w:ind w:right="8391"/>
        <w:pBdr>
          <w:bottom w:val="single" w:sz="4" w:space="1" w:color="A6A6A6"/>
        </w:pBdr>
      </w:pPr>
      <w:r>
        <w:rPr>
          <w:rFonts w:ascii="Times New Roman" w:hAnsi="Times New Roman" w:eastAsia="Times New Roman"/>
          <w:b w:val="0"/>
          <w:i w:val="0"/>
          <w:color w:val="000000"/>
          <w:sz w:val="4"/>
          <w:u w:val="none"/>
        </w:rPr>
      </w:r>
    </w:p>
    <w:p>
      <w:pPr>
        <w:keepNext w:val="0"/>
        <w:tabs>
          <w:tab w:pos="1814" w:val="left"/>
          <w:tab w:pos="3685" w:val="left"/>
        </w:tabs>
        <w:spacing w:before="0" w:after="20" w:line="240" w:lineRule="auto"/>
        <w:ind w:left="3685" w:hanging="3685"/>
      </w:pPr>
      <w:r>
        <w:rPr>
          <w:rFonts w:ascii="Times New Roman" w:hAnsi="Times New Roman" w:eastAsia="Times New Roman"/>
          <w:b w:val="0"/>
          <w:i w:val="0"/>
          <w:color w:val="000000"/>
          <w:sz w:val="19"/>
          <w:u w:val="none"/>
        </w:rPr>
        <w:t>LANGUES</w:t>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Anglais</w:t>
      </w:r>
      <w:r>
        <w:rPr>
          <w:rFonts w:ascii="Times New Roman" w:hAnsi="Times New Roman" w:eastAsia="Times New Roman"/>
          <w:b w:val="0"/>
          <w:i w:val="0"/>
          <w:color w:val="000000"/>
          <w:sz w:val="19"/>
          <w:u w:val="none"/>
        </w:rPr>
        <w:tab/>
        <w:t>Professionnel (TOEIC 955/990)</w:t>
      </w:r>
    </w:p>
    <w:p>
      <w:pPr>
        <w:keepNext w:val="0"/>
        <w:tabs>
          <w:tab w:pos="1814" w:val="left"/>
          <w:tab w:pos="3685" w:val="left"/>
        </w:tabs>
        <w:spacing w:before="0" w:after="2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Français</w:t>
      </w:r>
      <w:r>
        <w:rPr>
          <w:rFonts w:ascii="Times New Roman" w:hAnsi="Times New Roman" w:eastAsia="Times New Roman"/>
          <w:b w:val="0"/>
          <w:i w:val="0"/>
          <w:color w:val="000000"/>
          <w:sz w:val="19"/>
          <w:u w:val="none"/>
        </w:rPr>
        <w:tab/>
        <w:t>Bilingue</w:t>
      </w:r>
    </w:p>
    <w:p>
      <w:pPr>
        <w:keepNext w:val="0"/>
        <w:tabs>
          <w:tab w:pos="1814" w:val="left"/>
          <w:tab w:pos="3685" w:val="left"/>
        </w:tabs>
        <w:spacing w:before="0" w:after="20" w:line="240" w:lineRule="auto"/>
        <w:ind w:left="3685" w:hanging="3685"/>
      </w:pPr>
      <w:r>
        <w:rPr>
          <w:rFonts w:ascii="Times New Roman" w:hAnsi="Times New Roman" w:eastAsia="Times New Roman"/>
          <w:b w:val="0"/>
          <w:i w:val="0"/>
          <w:color w:val="000000"/>
          <w:sz w:val="19"/>
          <w:u w:val="none"/>
        </w:rPr>
      </w:r>
      <w:r>
        <w:rPr>
          <w:rFonts w:ascii="Times New Roman" w:hAnsi="Times New Roman" w:eastAsia="Times New Roman"/>
          <w:b w:val="0"/>
          <w:i w:val="0"/>
          <w:color w:val="000000"/>
          <w:sz w:val="19"/>
          <w:u w:val="none"/>
        </w:rPr>
        <w:tab/>
      </w:r>
      <w:r>
        <w:rPr>
          <w:rFonts w:ascii="Times New Roman" w:hAnsi="Times New Roman" w:eastAsia="Times New Roman"/>
          <w:b/>
          <w:i w:val="0"/>
          <w:color w:val="000000"/>
          <w:sz w:val="19"/>
          <w:u w:val="none"/>
        </w:rPr>
        <w:t>Chinois</w:t>
      </w:r>
      <w:r>
        <w:rPr>
          <w:rFonts w:ascii="Times New Roman" w:hAnsi="Times New Roman" w:eastAsia="Times New Roman"/>
          <w:b w:val="0"/>
          <w:i w:val="0"/>
          <w:color w:val="000000"/>
          <w:sz w:val="19"/>
          <w:u w:val="none"/>
        </w:rPr>
        <w:tab/>
        <w:t>Langue maternelle</w:t>
      </w:r>
    </w:p>
    <w:p>
      <w:pPr>
        <w:keepNext w:val="0"/>
        <w:spacing w:before="200" w:after="160" w:line="24" w:lineRule="auto"/>
        <w:ind w:right="8391"/>
        <w:pBdr>
          <w:bottom w:val="single" w:sz="4" w:space="1" w:color="A6A6A6"/>
        </w:pBdr>
      </w:pPr>
      <w:r>
        <w:rPr>
          <w:rFonts w:ascii="Times New Roman" w:hAnsi="Times New Roman" w:eastAsia="Times New Roman"/>
          <w:b w:val="0"/>
          <w:i w:val="0"/>
          <w:color w:val="000000"/>
          <w:sz w:val="4"/>
          <w:u w:val="none"/>
        </w:rPr>
      </w:r>
    </w:p>
    <w:p>
      <w:pPr>
        <w:keepNext w:val="0"/>
        <w:tabs>
          <w:tab w:pos="3685" w:val="left"/>
        </w:tabs>
        <w:spacing w:before="0" w:after="0" w:line="240" w:lineRule="auto"/>
        <w:ind w:left="3685" w:hanging="3685"/>
      </w:pPr>
      <w:r>
        <w:rPr>
          <w:rFonts w:ascii="Times New Roman" w:hAnsi="Times New Roman" w:eastAsia="Times New Roman"/>
          <w:b w:val="0"/>
          <w:i w:val="0"/>
          <w:color w:val="000000"/>
          <w:sz w:val="19"/>
          <w:u w:val="none"/>
        </w:rPr>
        <w:t>CENTRES D'INTÉRÊT</w:t>
        <w:tab/>
        <w:t>Crossfit, natation, voyages (18 pays), engagement associatif (protection animale)</w:t>
      </w:r>
    </w:p>
    <w:sectPr w:rsidR="00FC693F" w:rsidRPr="0006063C" w:rsidSect="00034616">
      <w:pgSz w:w="11906" w:h="16838"/>
      <w:pgMar w:top="567" w:right="850" w:bottom="39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