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ind w:left="0" w:right="3638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36000</wp:posOffset>
            </wp:positionV>
            <wp:extent cx="1800000" cy="1194118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194118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34"/>
          <w:u w:val="none"/>
        </w:rPr>
        <w:t>CHEF DE PROJET SI</w:t>
      </w:r>
    </w:p>
    <w:p>
      <w:pPr>
        <w:keepNext w:val="0"/>
        <w:spacing w:before="0" w:after="140" w:line="240" w:lineRule="auto"/>
        <w:ind w:left="0" w:right="3638"/>
      </w:pPr>
      <w:r>
        <w:rPr>
          <w:rFonts w:ascii="Times New Roman" w:hAnsi="Times New Roman" w:eastAsia="Times New Roman"/>
          <w:b/>
          <w:i w:val="0"/>
          <w:color w:val="000000"/>
          <w:sz w:val="24"/>
          <w:u w:val="none"/>
        </w:rPr>
        <w:t>TRANSFORMATION DIGITALE, IA &amp; AUTOMATISATION</w:t>
      </w:r>
    </w:p>
    <w:p>
      <w:pPr>
        <w:keepNext w:val="0"/>
        <w:spacing w:before="0" w:after="20" w:line="240" w:lineRule="auto"/>
        <w:ind w:left="0" w:right="3638"/>
      </w:pPr>
      <w:r>
        <w:rPr>
          <w:rFonts w:ascii="Times New Roman" w:hAnsi="Times New Roman" w:eastAsia="Times New Roman"/>
          <w:b/>
          <w:i w:val="0"/>
          <w:color w:val="000000"/>
          <w:sz w:val="22"/>
          <w:u w:val="none"/>
        </w:rPr>
        <w:t>NICOLAS QI GUO</w:t>
      </w:r>
    </w:p>
    <w:p>
      <w:pPr>
        <w:keepNext w:val="0"/>
        <w:spacing w:before="0" w:after="0" w:line="240" w:lineRule="auto"/>
        <w:ind w:left="0" w:right="3638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0" w:right="3638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+33 6 30 23 24 41 | qi.guo@essec.edu</w:t>
      </w:r>
    </w:p>
    <w:p>
      <w:pPr>
        <w:keepNext w:val="0"/>
        <w:spacing w:before="140" w:after="0" w:line="240" w:lineRule="auto"/>
        <w:ind w:left="0" w:right="3638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Profil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Chef de projet SI, 3 ans d'expérience chez BNP Paribas et La Poste Groupe. Pilotage de projets IA (GenAI, RAG, Copilot) et d'automatisation (RPA, Power Platform), du besoin à la mise en production, et conduite du changement.</w:t>
      </w:r>
    </w:p>
    <w:p>
      <w:pPr>
        <w:keepNext w:val="0"/>
        <w:spacing w:before="160" w:after="14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co-construction d'un dispositif de qualification et de priorisation des use cases (valeur business, ROI, faisabilité technique) ; 20+ use cases identifiés, dont 3 retenus pour un lancement en 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formalisation des besoins, coordination transverse métiers / IT, conduite de POC, coordination et suivi de l'industrialisation de 3 solutions IA (GenAI, RAG, Copilot),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Transformation digitale et conduite du changement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contribution au déploiement d'un programme IA à grande échelle (5 000+ collaborateurs), animation d'un réseau de 70+ ambassadeurs IA, sessions d'onboarding et d'acculturation, événements communautaires</w:t>
      </w:r>
    </w:p>
    <w:p>
      <w:pPr>
        <w:keepNext/>
        <w:tabs>
          <w:tab w:pos="822" w:val="center"/>
          <w:tab w:pos="1814" w:val="left"/>
        </w:tabs>
        <w:spacing w:before="1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analyse des besoins métiers, rédaction des cahiers des charges et spécifications fonctionnelles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 / IT pour la coconception des solutions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Pilotage du développement, de la recette et de la mise en production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des risques et animation des instances projets (COSUI, COPIL)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Accompagnement du déploiement auprès des fonctions Finance et RH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Phase RUN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quotidien d'une dizaine de robots en production et gestion des incidents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des solutions déployées (ROI, fiabilité, adoption)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Identification et mise en œuvre d'axes d'amélioration continue</w:t>
      </w:r>
    </w:p>
    <w:p>
      <w:pPr>
        <w:keepNext/>
        <w:tabs>
          <w:tab w:pos="822" w:val="center"/>
          <w:tab w:pos="1814" w:val="left"/>
        </w:tabs>
        <w:spacing w:before="18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: sens du service et adaptation en contexte multiculturel</w:t>
      </w:r>
    </w:p>
    <w:p>
      <w:pPr>
        <w:keepNext w:val="0"/>
        <w:spacing w:before="140" w:after="12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140" w:after="12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Cycle en V, Agile, hybride – cadrage, recette, mise en production, COPIL / COSUI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Environnement SI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SI Finance, SAP, intégration applicative, sécurité, conformité et gouvernance des SI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Outils digitaux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Power Apps, Power Automate, Power BI, SharePoint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Python, SQL, Java, PHP, HTML/CSS, C, C#</w:t>
      </w:r>
    </w:p>
    <w:p>
      <w:pPr>
        <w:keepNext w:val="0"/>
        <w:spacing w:before="140" w:after="12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140" w:after="12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685" w:val="left"/>
        </w:tabs>
        <w:spacing w:before="0" w:after="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Crossfit, natation, voyages (18 pays),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