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0" w:line="240" w:lineRule="auto"/>
        <w:ind w:left="0" w:right="2671"/>
      </w:pPr>
      <w:r>
        <w:drawing>
          <wp:anchor distT="0" distB="0" distL="114300" distR="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36000</wp:posOffset>
            </wp:positionV>
            <wp:extent cx="1368000" cy="1036209"/>
            <wp:effectExtent l="0" t="0" r="0" b="0"/>
            <wp:wrapSquare wrapText="bothSides"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hoto_h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036209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/>
          <w:b/>
          <w:i w:val="0"/>
          <w:color w:val="000000"/>
          <w:sz w:val="20"/>
          <w:u w:val="none"/>
        </w:rPr>
        <w:t>CHEF DE PROJET SI TECHNICO-FONCTIONNEL | POWER PLATFORM &amp; M365</w:t>
      </w:r>
    </w:p>
    <w:p>
      <w:pPr>
        <w:keepNext w:val="0"/>
        <w:spacing w:before="120" w:after="20" w:line="240" w:lineRule="auto"/>
        <w:ind w:left="0" w:right="2671"/>
      </w:pPr>
      <w:r>
        <w:rPr>
          <w:rFonts w:ascii="Times New Roman" w:hAnsi="Times New Roman" w:eastAsia="Times New Roman"/>
          <w:b/>
          <w:i w:val="0"/>
          <w:color w:val="000000"/>
          <w:sz w:val="20"/>
          <w:u w:val="none"/>
        </w:rPr>
        <w:t>NICOLAS QI GUO</w:t>
      </w:r>
    </w:p>
    <w:p>
      <w:pPr>
        <w:keepNext w:val="0"/>
        <w:spacing w:before="0" w:after="0" w:line="240" w:lineRule="auto"/>
        <w:ind w:left="0" w:right="2671"/>
      </w:pPr>
      <w:r>
        <w:rPr>
          <w:rFonts w:ascii="Times New Roman" w:hAnsi="Times New Roman" w:eastAsia="Times New Roman"/>
          <w:b w:val="0"/>
          <w:i w:val="0"/>
          <w:color w:val="000000"/>
          <w:sz w:val="18"/>
          <w:u w:val="none"/>
        </w:rPr>
        <w:t>Orléans, France | Mobilité Île-de-France</w:t>
      </w:r>
    </w:p>
    <w:p>
      <w:pPr>
        <w:keepNext w:val="0"/>
        <w:spacing w:before="0" w:after="0" w:line="240" w:lineRule="auto"/>
        <w:ind w:left="0" w:right="2671"/>
      </w:pPr>
      <w:r>
        <w:rPr>
          <w:rFonts w:ascii="Times New Roman" w:hAnsi="Times New Roman" w:eastAsia="Times New Roman"/>
          <w:b w:val="0"/>
          <w:i w:val="0"/>
          <w:color w:val="000000"/>
          <w:sz w:val="18"/>
          <w:u w:val="none"/>
        </w:rPr>
        <w:t>+33 6 30 23 24 41 | qi.guo@essec.edu</w:t>
      </w:r>
    </w:p>
    <w:p>
      <w:pPr>
        <w:keepNext w:val="0"/>
        <w:spacing w:before="140" w:after="0" w:line="240" w:lineRule="auto"/>
        <w:ind w:left="0" w:right="2671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 xml:space="preserve">Profil : 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3 ans d'expérience au sein de grands groupes (BNP Paribas, La Poste). Référent Power Platform : conception et déploiement de solutions Power Apps, Power Automate et SharePoint, des ateliers de cadrage à la formation des utilisateurs. Conduite du changement et adoption de l'IA (dont Microsoft 365 Copilot) à grande échelle.</w:t>
      </w:r>
    </w:p>
    <w:p>
      <w:pPr>
        <w:keepNext w:val="0"/>
        <w:spacing w:before="240" w:after="140" w:line="24" w:lineRule="auto"/>
        <w:pBdr>
          <w:bottom w:val="single" w:sz="4" w:space="1" w:color="A6A6A6"/>
        </w:pBdr>
      </w:pPr>
      <w:r>
        <w:rPr>
          <w:rFonts w:ascii="Times New Roman" w:hAnsi="Times New Roman" w:eastAsia="Times New Roman"/>
          <w:b w:val="0"/>
          <w:i w:val="0"/>
          <w:color w:val="000000"/>
          <w:sz w:val="4"/>
          <w:u w:val="none"/>
        </w:rPr>
      </w:r>
    </w:p>
    <w:p>
      <w:pPr>
        <w:keepNext/>
        <w:spacing w:before="0" w:after="100" w:line="24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EXPÉRIENCES PROFESSIONNELLES</w:t>
      </w:r>
    </w:p>
    <w:p>
      <w:pPr>
        <w:keepNext/>
        <w:tabs>
          <w:tab w:pos="822" w:val="center"/>
          <w:tab w:pos="1814" w:val="left"/>
        </w:tabs>
        <w:spacing w:before="0" w:after="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2024 – 2025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Digital Transformation Project Manager – AIR TECH @ BNP PARIBAS</w:t>
      </w:r>
    </w:p>
    <w:p>
      <w:pPr>
        <w:keepNext/>
        <w:tabs>
          <w:tab w:pos="822" w:val="center"/>
          <w:tab w:pos="1814" w:val="left"/>
        </w:tabs>
        <w:spacing w:before="0" w:after="4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 w:val="0"/>
          <w:i/>
          <w:color w:val="000000"/>
          <w:sz w:val="17"/>
          <w:u w:val="none"/>
        </w:rPr>
        <w:t>Alternance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 w:val="0"/>
          <w:i/>
          <w:color w:val="000000"/>
          <w:sz w:val="18"/>
          <w:u w:val="none"/>
        </w:rPr>
        <w:t>Périmètre : Compliance &amp; Risk (AML, sanctions, contrôle et monitoring, sécurité financière)</w:t>
      </w:r>
    </w:p>
    <w:p>
      <w:pPr>
        <w:keepNext w:val="0"/>
        <w:tabs>
          <w:tab w:pos="2069" w:val="left"/>
        </w:tabs>
        <w:spacing w:before="0" w:after="40" w:line="240" w:lineRule="auto"/>
        <w:ind w:left="2069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•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 xml:space="preserve">Structuration et coordination des initiatives IA &amp; RPA : 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conception et mise en place d'un dispositif de collecte, qualification et priorisation des use cases ; 20+ use cases identifiés, 3 lancés en projet</w:t>
      </w:r>
    </w:p>
    <w:p>
      <w:pPr>
        <w:keepNext w:val="0"/>
        <w:tabs>
          <w:tab w:pos="2069" w:val="left"/>
        </w:tabs>
        <w:spacing w:before="0" w:after="40" w:line="240" w:lineRule="auto"/>
        <w:ind w:left="2069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•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 xml:space="preserve">Pilotage et gouvernance des projets IA : 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recueil et formalisation des besoins, coordination transverse Métiers–IT, conduite de POC, accompagnement du déploiement de 3 solutions IA (GenAI, RAG, Microsoft 365 Copilot) et reporting auprès des instances de gouvernance</w:t>
      </w:r>
    </w:p>
    <w:p>
      <w:pPr>
        <w:keepNext w:val="0"/>
        <w:tabs>
          <w:tab w:pos="2069" w:val="left"/>
        </w:tabs>
        <w:spacing w:before="0" w:after="40" w:line="240" w:lineRule="auto"/>
        <w:ind w:left="2069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•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 xml:space="preserve">Conduite du changement 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dans le cadre d'un programme IA transverse (5 000+ collaborateurs) : pilotage d'un site SharePoint de ressources, canaux Teams et animation d'un réseau de 70+ ambassadeurs IA, sessions d'acculturation</w:t>
      </w:r>
    </w:p>
    <w:p>
      <w:pPr>
        <w:keepNext/>
        <w:tabs>
          <w:tab w:pos="822" w:val="center"/>
          <w:tab w:pos="1814" w:val="left"/>
        </w:tabs>
        <w:spacing w:before="180" w:after="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2022 – 2024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Chef de Projet SI – Data Intelligence &amp; Innovation DTSFG @ LA POSTE GROUPE</w:t>
      </w:r>
    </w:p>
    <w:p>
      <w:pPr>
        <w:keepNext/>
        <w:tabs>
          <w:tab w:pos="822" w:val="center"/>
          <w:tab w:pos="1814" w:val="left"/>
        </w:tabs>
        <w:spacing w:before="0" w:after="4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 w:val="0"/>
          <w:i/>
          <w:color w:val="000000"/>
          <w:sz w:val="17"/>
          <w:u w:val="none"/>
        </w:rPr>
        <w:t>Alternance + CDD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 w:val="0"/>
          <w:i/>
          <w:color w:val="000000"/>
          <w:sz w:val="18"/>
          <w:u w:val="none"/>
        </w:rPr>
        <w:t>Périmètre : Direction de la Transformation des Solutions Finance (SI Finance, SIRH, SAP)</w:t>
      </w:r>
    </w:p>
    <w:p>
      <w:pPr>
        <w:keepNext w:val="0"/>
        <w:tabs>
          <w:tab w:pos="2069" w:val="left"/>
        </w:tabs>
        <w:spacing w:before="0" w:after="20" w:line="240" w:lineRule="auto"/>
        <w:ind w:left="2069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•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Pilotage de projets d'automatisation (RPA &amp; Power Platform), dont 2 de bout en bout :</w:t>
      </w:r>
    </w:p>
    <w:p>
      <w:pPr>
        <w:keepNext w:val="0"/>
        <w:tabs>
          <w:tab w:pos="2381" w:val="left"/>
        </w:tabs>
        <w:spacing w:before="0" w:after="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Recueil et analyse des besoins métiers, rédaction des cahiers des charges et spécifications fonctionnelles et techniques</w:t>
      </w:r>
    </w:p>
    <w:p>
      <w:pPr>
        <w:keepNext w:val="0"/>
        <w:tabs>
          <w:tab w:pos="2381" w:val="left"/>
        </w:tabs>
        <w:spacing w:before="0" w:after="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Coordination Métiers–IT pour la coconception des solutions</w:t>
      </w:r>
    </w:p>
    <w:p>
      <w:pPr>
        <w:keepNext w:val="0"/>
        <w:tabs>
          <w:tab w:pos="2381" w:val="left"/>
        </w:tabs>
        <w:spacing w:before="0" w:after="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Pilotage du développement, de la recette et de la mise en production</w:t>
      </w:r>
    </w:p>
    <w:p>
      <w:pPr>
        <w:keepNext w:val="0"/>
        <w:tabs>
          <w:tab w:pos="2381" w:val="left"/>
        </w:tabs>
        <w:spacing w:before="0" w:after="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Gestion des risques et animation des instances projets (COSUI, COPIL)</w:t>
      </w:r>
    </w:p>
    <w:p>
      <w:pPr>
        <w:keepNext w:val="0"/>
        <w:tabs>
          <w:tab w:pos="2381" w:val="left"/>
        </w:tabs>
        <w:spacing w:before="0" w:after="4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Accompagnement du déploiement auprès des fonctions Finance et RH</w:t>
      </w:r>
    </w:p>
    <w:p>
      <w:pPr>
        <w:keepNext w:val="0"/>
        <w:tabs>
          <w:tab w:pos="2069" w:val="left"/>
        </w:tabs>
        <w:spacing w:before="0" w:after="40" w:line="240" w:lineRule="auto"/>
        <w:ind w:left="2069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•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 xml:space="preserve">Projet e-Note de crédit 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(digitalisation des notes de crédit, RPA + Power Platform) : développement de toute la partie Power Platform – interface Power Apps et flux Power Automate reliant les briques (RPA, SharePoint) ; délai de plusieurs semaines à quasi instantané, impact &gt; 700 k€</w:t>
      </w:r>
    </w:p>
    <w:p>
      <w:pPr>
        <w:keepNext w:val="0"/>
        <w:tabs>
          <w:tab w:pos="2069" w:val="left"/>
        </w:tabs>
        <w:spacing w:before="0" w:after="20" w:line="240" w:lineRule="auto"/>
        <w:ind w:left="2069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•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Pilotage du RUN :</w:t>
      </w:r>
    </w:p>
    <w:p>
      <w:pPr>
        <w:keepNext w:val="0"/>
        <w:tabs>
          <w:tab w:pos="2381" w:val="left"/>
        </w:tabs>
        <w:spacing w:before="0" w:after="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Monitoring quotidien d'une dizaine de robots en production et gestion des incidents</w:t>
      </w:r>
    </w:p>
    <w:p>
      <w:pPr>
        <w:keepNext w:val="0"/>
        <w:tabs>
          <w:tab w:pos="2381" w:val="left"/>
        </w:tabs>
        <w:spacing w:before="0" w:after="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Suivi de la performance des solutions déployées (ROI, fiabilité, adoption)</w:t>
      </w:r>
    </w:p>
    <w:p>
      <w:pPr>
        <w:keepNext w:val="0"/>
        <w:tabs>
          <w:tab w:pos="2381" w:val="left"/>
        </w:tabs>
        <w:spacing w:before="0" w:after="4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Identification et mise en œuvre d'axes d'amélioration continue</w:t>
      </w:r>
    </w:p>
    <w:p>
      <w:pPr>
        <w:keepNext/>
        <w:tabs>
          <w:tab w:pos="822" w:val="center"/>
          <w:tab w:pos="1814" w:val="left"/>
        </w:tabs>
        <w:spacing w:before="180" w:after="4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2018 – 2022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Retail &amp; VIP Guest Relations @ LOUIS VUITTON</w:t>
      </w:r>
    </w:p>
    <w:p>
      <w:pPr>
        <w:keepNext w:val="0"/>
        <w:tabs>
          <w:tab w:pos="2069" w:val="left"/>
        </w:tabs>
        <w:spacing w:before="0" w:after="40" w:line="240" w:lineRule="auto"/>
        <w:ind w:left="2069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•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Gestion d'une clientèle VIP internationale : sens du service et adaptation en contexte multiculturel</w:t>
      </w:r>
    </w:p>
    <w:p>
      <w:pPr>
        <w:keepNext w:val="0"/>
        <w:spacing w:before="120" w:after="100" w:line="24" w:lineRule="auto"/>
        <w:ind w:right="8391"/>
        <w:pBdr>
          <w:bottom w:val="single" w:sz="4" w:space="1" w:color="A6A6A6"/>
        </w:pBdr>
      </w:pPr>
      <w:r>
        <w:rPr>
          <w:rFonts w:ascii="Times New Roman" w:hAnsi="Times New Roman" w:eastAsia="Times New Roman"/>
          <w:b w:val="0"/>
          <w:i w:val="0"/>
          <w:color w:val="000000"/>
          <w:sz w:val="4"/>
          <w:u w:val="none"/>
        </w:rPr>
      </w:r>
    </w:p>
    <w:p>
      <w:pPr>
        <w:keepNext/>
        <w:spacing w:before="0" w:after="100" w:line="24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FORMATION</w:t>
      </w:r>
    </w:p>
    <w:p>
      <w:pPr>
        <w:keepNext/>
        <w:tabs>
          <w:tab w:pos="822" w:val="center"/>
          <w:tab w:pos="1814" w:val="left"/>
        </w:tabs>
        <w:spacing w:before="0" w:after="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2024 – 2025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Mastère spécialisé en Management des Systèmes d'Information en Réseaux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 xml:space="preserve"> – Major de promotion</w:t>
      </w:r>
    </w:p>
    <w:p>
      <w:pPr>
        <w:keepNext w:val="0"/>
        <w:spacing w:before="0" w:after="0" w:line="240" w:lineRule="auto"/>
        <w:ind w:left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ESSEC Business School &amp; Télécom Paris</w:t>
      </w:r>
    </w:p>
    <w:p>
      <w:pPr>
        <w:keepNext/>
        <w:tabs>
          <w:tab w:pos="822" w:val="center"/>
          <w:tab w:pos="1814" w:val="left"/>
        </w:tabs>
        <w:spacing w:before="80" w:after="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2022 – 2023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Master 2 en Projets Informatiques et Stratégie d'entreprise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 xml:space="preserve"> – Major de promotion</w:t>
      </w:r>
    </w:p>
    <w:p>
      <w:pPr>
        <w:keepNext w:val="0"/>
        <w:spacing w:before="0" w:after="0" w:line="240" w:lineRule="auto"/>
        <w:ind w:left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Université Paris Cité</w:t>
      </w:r>
    </w:p>
    <w:p>
      <w:pPr>
        <w:keepNext/>
        <w:tabs>
          <w:tab w:pos="822" w:val="center"/>
          <w:tab w:pos="1814" w:val="left"/>
        </w:tabs>
        <w:spacing w:before="80" w:after="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Avant 2016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Master en Littératures Françaises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 xml:space="preserve"> – Université Paris-Sorbonne</w:t>
      </w:r>
    </w:p>
    <w:p>
      <w:pPr>
        <w:keepNext/>
        <w:tabs>
          <w:tab w:pos="822" w:val="center"/>
          <w:tab w:pos="1814" w:val="left"/>
        </w:tabs>
        <w:spacing w:before="0" w:after="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Licence en Langue Française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 xml:space="preserve"> – Xi'an JiaoTong University, Chine</w:t>
      </w:r>
    </w:p>
    <w:p>
      <w:pPr>
        <w:keepNext w:val="0"/>
        <w:spacing w:before="120" w:after="100" w:line="24" w:lineRule="auto"/>
        <w:ind w:right="8391"/>
        <w:pBdr>
          <w:bottom w:val="single" w:sz="4" w:space="1" w:color="A6A6A6"/>
        </w:pBdr>
      </w:pPr>
      <w:r>
        <w:rPr>
          <w:rFonts w:ascii="Times New Roman" w:hAnsi="Times New Roman" w:eastAsia="Times New Roman"/>
          <w:b w:val="0"/>
          <w:i w:val="0"/>
          <w:color w:val="000000"/>
          <w:sz w:val="4"/>
          <w:u w:val="none"/>
        </w:rPr>
      </w:r>
    </w:p>
    <w:p>
      <w:pPr>
        <w:keepNext w:val="0"/>
        <w:tabs>
          <w:tab w:pos="1814" w:val="left"/>
          <w:tab w:pos="3685" w:val="left"/>
        </w:tabs>
        <w:spacing w:before="0" w:after="4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COMPÉTENCES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Microsoft 365 :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Power Apps, Power Automate, SharePoint (listes, sites), Teams, Copilot</w:t>
      </w:r>
    </w:p>
    <w:p>
      <w:pPr>
        <w:keepNext w:val="0"/>
        <w:tabs>
          <w:tab w:pos="1814" w:val="left"/>
          <w:tab w:pos="3685" w:val="left"/>
        </w:tabs>
        <w:spacing w:before="0" w:after="4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Gestion de projet :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Cadrage, ateliers métiers, spécifications, recette, mise en production</w:t>
        <w:br/>
        <w:t>Documentation et formation utilisateurs, COPIL / COSUI – Agile, cycle en V</w:t>
      </w:r>
    </w:p>
    <w:p>
      <w:pPr>
        <w:keepNext w:val="0"/>
        <w:tabs>
          <w:tab w:pos="1814" w:val="left"/>
          <w:tab w:pos="3685" w:val="left"/>
        </w:tabs>
        <w:spacing w:before="0" w:after="4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Environnement SI :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SI Finance, SAP, intégration applicative, sécurité, conformité et gouvernance des SI</w:t>
      </w:r>
    </w:p>
    <w:p>
      <w:pPr>
        <w:keepNext w:val="0"/>
        <w:tabs>
          <w:tab w:pos="1814" w:val="left"/>
          <w:tab w:pos="3685" w:val="left"/>
        </w:tabs>
        <w:spacing w:before="0" w:after="4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Langages (notions) :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Python, SQL, Java, PHP, HTML/CSS, C, C#</w:t>
      </w:r>
    </w:p>
    <w:p>
      <w:pPr>
        <w:keepNext w:val="0"/>
        <w:spacing w:before="120" w:after="100" w:line="24" w:lineRule="auto"/>
        <w:ind w:right="8391"/>
        <w:pBdr>
          <w:bottom w:val="single" w:sz="4" w:space="1" w:color="A6A6A6"/>
        </w:pBdr>
      </w:pPr>
      <w:r>
        <w:rPr>
          <w:rFonts w:ascii="Times New Roman" w:hAnsi="Times New Roman" w:eastAsia="Times New Roman"/>
          <w:b w:val="0"/>
          <w:i w:val="0"/>
          <w:color w:val="000000"/>
          <w:sz w:val="4"/>
          <w:u w:val="none"/>
        </w:rPr>
      </w:r>
    </w:p>
    <w:p>
      <w:pPr>
        <w:keepNext w:val="0"/>
        <w:tabs>
          <w:tab w:pos="1814" w:val="left"/>
          <w:tab w:pos="3685" w:val="left"/>
        </w:tabs>
        <w:spacing w:before="0" w:after="2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LANGUES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Anglais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Professionnel (TOEIC 955/990)</w:t>
      </w:r>
    </w:p>
    <w:p>
      <w:pPr>
        <w:keepNext w:val="0"/>
        <w:tabs>
          <w:tab w:pos="1814" w:val="left"/>
          <w:tab w:pos="3685" w:val="left"/>
        </w:tabs>
        <w:spacing w:before="0" w:after="2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Français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Bilingue</w:t>
      </w:r>
    </w:p>
    <w:p>
      <w:pPr>
        <w:keepNext w:val="0"/>
        <w:tabs>
          <w:tab w:pos="1814" w:val="left"/>
          <w:tab w:pos="3685" w:val="left"/>
        </w:tabs>
        <w:spacing w:before="0" w:after="2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Chinois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Langue maternelle</w:t>
      </w:r>
    </w:p>
    <w:p>
      <w:pPr>
        <w:keepNext w:val="0"/>
        <w:spacing w:before="120" w:after="100" w:line="24" w:lineRule="auto"/>
        <w:ind w:right="8391"/>
        <w:pBdr>
          <w:bottom w:val="single" w:sz="4" w:space="1" w:color="A6A6A6"/>
        </w:pBdr>
      </w:pPr>
      <w:r>
        <w:rPr>
          <w:rFonts w:ascii="Times New Roman" w:hAnsi="Times New Roman" w:eastAsia="Times New Roman"/>
          <w:b w:val="0"/>
          <w:i w:val="0"/>
          <w:color w:val="000000"/>
          <w:sz w:val="4"/>
          <w:u w:val="none"/>
        </w:rPr>
      </w:r>
    </w:p>
    <w:p>
      <w:pPr>
        <w:keepNext w:val="0"/>
        <w:tabs>
          <w:tab w:pos="3685" w:val="left"/>
        </w:tabs>
        <w:spacing w:before="0" w:after="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CENTRES D'INTÉRÊT</w:t>
        <w:tab/>
        <w:t>Crossfit, natation, voyages (18 pays), engagement associatif (protection animale)</w:t>
      </w:r>
    </w:p>
    <w:sectPr w:rsidR="00FC693F" w:rsidRPr="0006063C" w:rsidSect="00034616">
      <w:pgSz w:w="11906" w:h="16838"/>
      <w:pgMar w:top="567" w:right="850" w:bottom="39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