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120" w:line="240" w:lineRule="auto"/>
        <w:ind w:left="680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18000</wp:posOffset>
            </wp:positionV>
            <wp:extent cx="1260000" cy="835882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835882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30"/>
          <w:u w:val="single"/>
        </w:rPr>
        <w:t>NICOLAS QI GUO</w:t>
      </w:r>
    </w:p>
    <w:p>
      <w:pPr>
        <w:keepNext w:val="0"/>
        <w:spacing w:before="0" w:after="80" w:line="240" w:lineRule="auto"/>
        <w:ind w:left="680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| TRANSFORMATION DIGITALE, IA &amp; AUTOMATISATION</w:t>
      </w:r>
    </w:p>
    <w:p>
      <w:pPr>
        <w:keepNext w:val="0"/>
        <w:spacing w:before="0" w:after="0" w:line="240" w:lineRule="auto"/>
        <w:ind w:left="680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680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Tél. : +33 6 30 23 24 41 | E-mail : qi.guo@essec.edu</w:t>
      </w:r>
    </w:p>
    <w:p>
      <w:pPr>
        <w:keepNext w:val="0"/>
        <w:spacing w:before="120" w:after="0" w:line="240" w:lineRule="auto"/>
        <w:ind w:left="680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PROFIL</w:t>
      </w:r>
    </w:p>
    <w:p>
      <w:pPr>
        <w:keepNext w:val="0"/>
        <w:spacing w:before="0" w:after="0" w:line="240" w:lineRule="auto"/>
        <w:ind w:left="680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Chef de projet SI, 3 ans d'expérience en transformation digitale chez BNP Paribas et La Poste Groupe. Pilotage de projets IA (GenAI, RAG, Copilot) et d'automatisation (RPA, Power Platform), du recueil des besoins à la mise en production, gouvernance projet et conduite du changement.</w:t>
      </w:r>
    </w:p>
    <w:p>
      <w:pPr>
        <w:keepNext w:val="0"/>
        <w:spacing w:before="100" w:after="10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co-construction d'un dispositif de qualification et de priorisation des use cases (valeur business, ROI, faisabilité technique) ; 20+ use cases identifiés, dont 3 retenus pour un lancement en 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 / IT, conduite de POC, coordination et suivi de l'industrialisation de 3 solutions IA (GenAI, RAG, Copilot),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Transformation digitale et conduite du changement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contribution au déploiement d'un programme IA à grande échelle (5 000+ collaborateurs), animation d'un réseau de 70+ ambassadeurs IA, sessions d'onboarding et d'acculturation, événements communautaires</w:t>
      </w:r>
    </w:p>
    <w:p>
      <w:pPr>
        <w:keepNext/>
        <w:tabs>
          <w:tab w:pos="822" w:val="center"/>
          <w:tab w:pos="1814" w:val="left"/>
        </w:tabs>
        <w:spacing w:before="12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analyse des besoins métiers, rédaction des cahiers des charges et spécifications fonctionnelles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 / IT pour la coconception des solutions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Pilotage du développement, de la recette et de la mise en production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des risques et animation des instances projets (COSUI, COPIL)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Accompagnement du déploiement auprès des fonctions Finance et RH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Phase RUN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quotidien d'une dizaine de robots en production et gestion des incidents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des solutions déployées (ROI, fiabilité, adoption)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Identification et mise en œuvre d'axes d'amélioration continue</w:t>
      </w:r>
    </w:p>
    <w:p>
      <w:pPr>
        <w:keepNext/>
        <w:tabs>
          <w:tab w:pos="822" w:val="center"/>
          <w:tab w:pos="1814" w:val="left"/>
        </w:tabs>
        <w:spacing w:before="12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dans un environnement exigeant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Sens du service, communication et adaptation en contexte multiculturel</w:t>
      </w:r>
    </w:p>
    <w:p>
      <w:pPr>
        <w:keepNext w:val="0"/>
        <w:spacing w:before="60" w:after="8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60" w:after="8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798" w:val="left"/>
        </w:tabs>
        <w:spacing w:before="0" w:after="40" w:line="240" w:lineRule="auto"/>
        <w:ind w:left="3798" w:hanging="3798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cadrage, recueil des besoins, spécifications fonctionnelles, coordination métiers / IT, recette, mise en production, gestion des risques, COPIL / COSUI</w:t>
      </w:r>
    </w:p>
    <w:p>
      <w:pPr>
        <w:keepNext w:val="0"/>
        <w:tabs>
          <w:tab w:pos="1814" w:val="left"/>
          <w:tab w:pos="3798" w:val="left"/>
        </w:tabs>
        <w:spacing w:before="0" w:after="40" w:line="240" w:lineRule="auto"/>
        <w:ind w:left="3798" w:hanging="3798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Méthodologies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Cycle en V, Agile, hybride</w:t>
      </w:r>
    </w:p>
    <w:p>
      <w:pPr>
        <w:keepNext w:val="0"/>
        <w:tabs>
          <w:tab w:pos="1814" w:val="left"/>
          <w:tab w:pos="3798" w:val="left"/>
        </w:tabs>
        <w:spacing w:before="0" w:after="40" w:line="240" w:lineRule="auto"/>
        <w:ind w:left="3798" w:hanging="3798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Transformation &amp; IA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GenAI, RAG, Copilot, RPA, POC, use cases, ROI, conduite du changement</w:t>
      </w:r>
    </w:p>
    <w:p>
      <w:pPr>
        <w:keepNext w:val="0"/>
        <w:tabs>
          <w:tab w:pos="1814" w:val="left"/>
          <w:tab w:pos="3798" w:val="left"/>
        </w:tabs>
        <w:spacing w:before="0" w:after="40" w:line="240" w:lineRule="auto"/>
        <w:ind w:left="3798" w:hanging="3798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SIRH, SAP, intégration, sécurité, conformité, gouvernance SI</w:t>
      </w:r>
    </w:p>
    <w:p>
      <w:pPr>
        <w:keepNext w:val="0"/>
        <w:tabs>
          <w:tab w:pos="1814" w:val="left"/>
          <w:tab w:pos="3798" w:val="left"/>
        </w:tabs>
        <w:spacing w:before="0" w:after="40" w:line="240" w:lineRule="auto"/>
        <w:ind w:left="3798" w:hanging="3798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Outils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Power Apps, Power Automate, Power BI, SharePoint</w:t>
      </w:r>
    </w:p>
    <w:p>
      <w:pPr>
        <w:keepNext w:val="0"/>
        <w:tabs>
          <w:tab w:pos="1814" w:val="left"/>
          <w:tab w:pos="3798" w:val="left"/>
        </w:tabs>
        <w:spacing w:before="0" w:after="40" w:line="240" w:lineRule="auto"/>
        <w:ind w:left="3798" w:hanging="3798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Python, SQL, Java, PHP, C, C#, HTML/CSS</w:t>
      </w:r>
    </w:p>
    <w:p>
      <w:pPr>
        <w:keepNext w:val="0"/>
        <w:spacing w:before="60" w:after="8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798" w:val="left"/>
        </w:tabs>
        <w:spacing w:before="0" w:after="20" w:line="240" w:lineRule="auto"/>
        <w:ind w:left="3798" w:hanging="3798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798" w:val="left"/>
        </w:tabs>
        <w:spacing w:before="0" w:after="20" w:line="240" w:lineRule="auto"/>
        <w:ind w:left="3798" w:hanging="3798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798" w:val="left"/>
        </w:tabs>
        <w:spacing w:before="0" w:after="20" w:line="240" w:lineRule="auto"/>
        <w:ind w:left="3798" w:hanging="3798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60" w:after="8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798" w:val="left"/>
        </w:tabs>
        <w:spacing w:before="0" w:after="0" w:line="240" w:lineRule="auto"/>
        <w:ind w:left="3798" w:hanging="3798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Sport (crossfit, natation), voyages (18 pays visités),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