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044000" cy="1177400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4000" cy="1177400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Arial" w:hAnsi="Arial" w:eastAsia="Arial"/>
          <w:b/>
          <w:i w:val="0"/>
          <w:color w:val="1F3A5F"/>
          <w:sz w:val="36"/>
        </w:rPr>
        <w:t>NICOLAS QI GUO</w:t>
      </w:r>
    </w:p>
    <w:p>
      <w:pPr>
        <w:spacing w:before="0" w:after="80" w:line="240" w:lineRule="auto"/>
      </w:pPr>
      <w:r>
        <w:rPr>
          <w:rFonts w:ascii="Arial" w:hAnsi="Arial" w:eastAsia="Arial"/>
          <w:b/>
          <w:i w:val="0"/>
          <w:sz w:val="22"/>
        </w:rPr>
        <w:t>CHEF DE PROJET SI | TRANSFORMATION DIGITALE, IA &amp; AUTOMATISATION</w:t>
      </w:r>
    </w:p>
    <w:p>
      <w:pPr>
        <w:spacing w:before="0" w:after="0" w:line="240" w:lineRule="auto"/>
      </w:pPr>
      <w:r>
        <w:rPr>
          <w:rFonts w:ascii="Arial" w:hAnsi="Arial" w:eastAsia="Arial"/>
          <w:b w:val="0"/>
          <w:i w:val="0"/>
          <w:color w:val="555555"/>
          <w:sz w:val="19"/>
        </w:rPr>
        <w:t>Orléans, France | Mobilité Île-de-France</w:t>
      </w:r>
    </w:p>
    <w:p>
      <w:pPr>
        <w:spacing w:before="0" w:after="0" w:line="240" w:lineRule="auto"/>
      </w:pPr>
      <w:r>
        <w:rPr>
          <w:rFonts w:ascii="Arial" w:hAnsi="Arial" w:eastAsia="Arial"/>
          <w:b w:val="0"/>
          <w:i w:val="0"/>
          <w:color w:val="555555"/>
          <w:sz w:val="19"/>
        </w:rPr>
        <w:t>Tél. : +33 6 30 23 24 41 | E-mail : qi.guo@essec.edu</w:t>
      </w:r>
    </w:p>
    <w:p>
      <w:pPr>
        <w:spacing w:before="120" w:after="0" w:line="264" w:lineRule="auto"/>
      </w:pPr>
      <w:r>
        <w:rPr>
          <w:rFonts w:ascii="Arial" w:hAnsi="Arial" w:eastAsia="Arial"/>
          <w:b/>
          <w:i w:val="0"/>
          <w:color w:val="1F3A5F"/>
          <w:sz w:val="19"/>
        </w:rPr>
        <w:t xml:space="preserve">Profil : </w:t>
      </w:r>
      <w:r>
        <w:rPr>
          <w:rFonts w:ascii="Arial" w:hAnsi="Arial" w:eastAsia="Arial"/>
          <w:b w:val="0"/>
          <w:i w:val="0"/>
          <w:sz w:val="19"/>
        </w:rPr>
        <w:t>Chef de projet SI, major de promotion ESSEC &amp; Télécom Paris et Université Paris Cité, avec 3 ans d'expérience en transformation digitale chez BNP Paribas et La Poste Groupe. Pilotage de projets IA (GenAI, RAG, Copilot) et d'automatisation (RPA, Power Platform), du recueil des besoins à la mise en production, gouvernance projet et conduite du changement.</w:t>
      </w:r>
    </w:p>
    <w:p>
      <w:pPr>
        <w:spacing w:before="140" w:after="60" w:line="240" w:lineRule="auto"/>
        <w:pBdr>
          <w:bottom w:val="single" w:sz="6" w:space="1" w:color="1F3A5F"/>
        </w:pBdr>
      </w:pPr>
      <w:r>
        <w:rPr>
          <w:rFonts w:ascii="Arial" w:hAnsi="Arial" w:eastAsia="Arial"/>
          <w:b/>
          <w:i w:val="0"/>
          <w:color w:val="1F3A5F"/>
          <w:sz w:val="21"/>
        </w:rPr>
        <w:t>EXPÉRIENCES PROFESSIONNELLES</w:t>
      </w:r>
    </w:p>
    <w:p>
      <w:pPr>
        <w:keepNext/>
        <w:spacing w:before="20" w:after="0" w:line="240" w:lineRule="auto"/>
      </w:pPr>
      <w:r>
        <w:rPr>
          <w:rFonts w:ascii="Arial" w:hAnsi="Arial" w:eastAsia="Arial"/>
          <w:b/>
          <w:i w:val="0"/>
          <w:color w:val="1F3A5F"/>
          <w:sz w:val="19"/>
        </w:rPr>
        <w:t xml:space="preserve">2024 – 2025 | </w:t>
      </w:r>
      <w:r>
        <w:rPr>
          <w:rFonts w:ascii="Arial" w:hAnsi="Arial" w:eastAsia="Arial"/>
          <w:b/>
          <w:i w:val="0"/>
          <w:sz w:val="19"/>
        </w:rPr>
        <w:t>Digital Transformation Project Manager – AIR TECH @ BNP PARIBAS</w:t>
      </w:r>
      <w:r>
        <w:rPr>
          <w:rFonts w:ascii="Arial" w:hAnsi="Arial" w:eastAsia="Arial"/>
          <w:b w:val="0"/>
          <w:i w:val="0"/>
          <w:sz w:val="19"/>
        </w:rPr>
        <w:t xml:space="preserve"> (Alternance)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/>
          <w:color w:val="555555"/>
          <w:sz w:val="18"/>
        </w:rPr>
        <w:t>Périmètre : Compliance &amp; Risk (AML, sanctions, contrôle et monitoring, sécurité financière)</w:t>
      </w:r>
    </w:p>
    <w:p>
      <w:pPr>
        <w:spacing w:before="0" w:after="20" w:line="252" w:lineRule="auto"/>
        <w:ind w:left="283" w:hanging="198"/>
      </w:pPr>
      <w:r>
        <w:rPr>
          <w:rFonts w:ascii="Arial" w:hAnsi="Arial" w:eastAsia="Arial"/>
          <w:b w:val="0"/>
          <w:i w:val="0"/>
          <w:sz w:val="19"/>
        </w:rPr>
        <w:t xml:space="preserve">•  </w:t>
      </w:r>
      <w:r>
        <w:rPr>
          <w:rFonts w:ascii="Arial" w:hAnsi="Arial" w:eastAsia="Arial"/>
          <w:b/>
          <w:i w:val="0"/>
          <w:sz w:val="19"/>
        </w:rPr>
        <w:t xml:space="preserve">Structuration et coordination des initiatives IA &amp; RPA : </w:t>
      </w:r>
      <w:r>
        <w:rPr>
          <w:rFonts w:ascii="Arial" w:hAnsi="Arial" w:eastAsia="Arial"/>
          <w:b w:val="0"/>
          <w:i w:val="0"/>
          <w:sz w:val="19"/>
        </w:rPr>
        <w:t>co-construction d'un dispositif de qualification et de priorisation des use cases (valeur business, ROI, faisabilité technique) ; 20+ use cases identifiés, dont 3 retenus pour un lancement en projet</w:t>
      </w:r>
    </w:p>
    <w:p>
      <w:pPr>
        <w:spacing w:before="0" w:after="20" w:line="252" w:lineRule="auto"/>
        <w:ind w:left="283" w:hanging="198"/>
      </w:pPr>
      <w:r>
        <w:rPr>
          <w:rFonts w:ascii="Arial" w:hAnsi="Arial" w:eastAsia="Arial"/>
          <w:b w:val="0"/>
          <w:i w:val="0"/>
          <w:sz w:val="19"/>
        </w:rPr>
        <w:t xml:space="preserve">•  </w:t>
      </w:r>
      <w:r>
        <w:rPr>
          <w:rFonts w:ascii="Arial" w:hAnsi="Arial" w:eastAsia="Arial"/>
          <w:b/>
          <w:i w:val="0"/>
          <w:sz w:val="19"/>
        </w:rPr>
        <w:t xml:space="preserve">Pilotage et gouvernance des projets IA : </w:t>
      </w:r>
      <w:r>
        <w:rPr>
          <w:rFonts w:ascii="Arial" w:hAnsi="Arial" w:eastAsia="Arial"/>
          <w:b w:val="0"/>
          <w:i w:val="0"/>
          <w:sz w:val="19"/>
        </w:rPr>
        <w:t>recueil et formalisation des besoins, coordination transverse métiers / IT, conduite de POC, coordination et suivi de l'industrialisation de 3 solutions IA (GenAI, RAG, Copilot), reporting auprès des instances de gouvernance</w:t>
      </w:r>
    </w:p>
    <w:p>
      <w:pPr>
        <w:spacing w:before="0" w:after="20" w:line="252" w:lineRule="auto"/>
        <w:ind w:left="283" w:hanging="198"/>
      </w:pPr>
      <w:r>
        <w:rPr>
          <w:rFonts w:ascii="Arial" w:hAnsi="Arial" w:eastAsia="Arial"/>
          <w:b w:val="0"/>
          <w:i w:val="0"/>
          <w:sz w:val="19"/>
        </w:rPr>
        <w:t xml:space="preserve">•  </w:t>
      </w:r>
      <w:r>
        <w:rPr>
          <w:rFonts w:ascii="Arial" w:hAnsi="Arial" w:eastAsia="Arial"/>
          <w:b/>
          <w:i w:val="0"/>
          <w:sz w:val="19"/>
        </w:rPr>
        <w:t xml:space="preserve">Transformation digitale et conduite du changement : </w:t>
      </w:r>
      <w:r>
        <w:rPr>
          <w:rFonts w:ascii="Arial" w:hAnsi="Arial" w:eastAsia="Arial"/>
          <w:b w:val="0"/>
          <w:i w:val="0"/>
          <w:sz w:val="19"/>
        </w:rPr>
        <w:t>contribution au déploiement d'un programme IA à grande échelle (5 000+ collaborateurs), animation d'un réseau de 70+ ambassadeurs IA, sessions d'onboarding et d'acculturation, événements communautaires</w:t>
      </w:r>
    </w:p>
    <w:p>
      <w:pPr>
        <w:keepNext/>
        <w:spacing w:before="100" w:after="0" w:line="240" w:lineRule="auto"/>
      </w:pPr>
      <w:r>
        <w:rPr>
          <w:rFonts w:ascii="Arial" w:hAnsi="Arial" w:eastAsia="Arial"/>
          <w:b/>
          <w:i w:val="0"/>
          <w:color w:val="1F3A5F"/>
          <w:sz w:val="19"/>
        </w:rPr>
        <w:t xml:space="preserve">2022 – 2024 | </w:t>
      </w:r>
      <w:r>
        <w:rPr>
          <w:rFonts w:ascii="Arial" w:hAnsi="Arial" w:eastAsia="Arial"/>
          <w:b/>
          <w:i w:val="0"/>
          <w:sz w:val="19"/>
        </w:rPr>
        <w:t>Chef de Projet SI – Data Intelligence &amp; Innovation DTSFG @ LA POSTE GROUPE</w:t>
      </w:r>
      <w:r>
        <w:rPr>
          <w:rFonts w:ascii="Arial" w:hAnsi="Arial" w:eastAsia="Arial"/>
          <w:b w:val="0"/>
          <w:i w:val="0"/>
          <w:sz w:val="19"/>
        </w:rPr>
        <w:t xml:space="preserve"> (Alternance + CDD)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/>
          <w:color w:val="555555"/>
          <w:sz w:val="18"/>
        </w:rPr>
        <w:t>Périmètre : Direction de la Transformation des Solutions Finance (SI Finance, SIRH, SAP)</w:t>
      </w:r>
    </w:p>
    <w:p>
      <w:pPr>
        <w:spacing w:before="0" w:after="20" w:line="252" w:lineRule="auto"/>
        <w:ind w:left="283" w:hanging="198"/>
      </w:pPr>
      <w:r>
        <w:rPr>
          <w:rFonts w:ascii="Arial" w:hAnsi="Arial" w:eastAsia="Arial"/>
          <w:b w:val="0"/>
          <w:i w:val="0"/>
          <w:sz w:val="19"/>
        </w:rPr>
        <w:t xml:space="preserve">•  </w:t>
      </w:r>
      <w:r>
        <w:rPr>
          <w:rFonts w:ascii="Arial" w:hAnsi="Arial" w:eastAsia="Arial"/>
          <w:b/>
          <w:i w:val="0"/>
          <w:sz w:val="19"/>
        </w:rPr>
        <w:t>Pilotage de projets d'automatisation (RPA &amp; Power Platform), dont 2 de bout en bout :</w:t>
      </w:r>
    </w:p>
    <w:p>
      <w:pPr>
        <w:spacing w:before="0" w:after="20" w:line="252" w:lineRule="auto"/>
        <w:ind w:left="567" w:hanging="198"/>
      </w:pPr>
      <w:r>
        <w:rPr>
          <w:rFonts w:ascii="Arial" w:hAnsi="Arial" w:eastAsia="Arial"/>
          <w:b w:val="0"/>
          <w:i w:val="0"/>
          <w:sz w:val="19"/>
        </w:rPr>
        <w:t xml:space="preserve">–  </w:t>
      </w:r>
      <w:r>
        <w:rPr>
          <w:rFonts w:ascii="Arial" w:hAnsi="Arial" w:eastAsia="Arial"/>
          <w:b w:val="0"/>
          <w:i w:val="0"/>
          <w:sz w:val="19"/>
        </w:rPr>
        <w:t>Recueil et analyse des besoins métiers, rédaction des cahiers des charges et spécifications fonctionnelles</w:t>
      </w:r>
    </w:p>
    <w:p>
      <w:pPr>
        <w:spacing w:before="0" w:after="20" w:line="252" w:lineRule="auto"/>
        <w:ind w:left="567" w:hanging="198"/>
      </w:pPr>
      <w:r>
        <w:rPr>
          <w:rFonts w:ascii="Arial" w:hAnsi="Arial" w:eastAsia="Arial"/>
          <w:b w:val="0"/>
          <w:i w:val="0"/>
          <w:sz w:val="19"/>
        </w:rPr>
        <w:t xml:space="preserve">–  </w:t>
      </w:r>
      <w:r>
        <w:rPr>
          <w:rFonts w:ascii="Arial" w:hAnsi="Arial" w:eastAsia="Arial"/>
          <w:b w:val="0"/>
          <w:i w:val="0"/>
          <w:sz w:val="19"/>
        </w:rPr>
        <w:t>Coordination métiers / IT pour la coconception des solutions</w:t>
      </w:r>
    </w:p>
    <w:p>
      <w:pPr>
        <w:spacing w:before="0" w:after="20" w:line="252" w:lineRule="auto"/>
        <w:ind w:left="567" w:hanging="198"/>
      </w:pPr>
      <w:r>
        <w:rPr>
          <w:rFonts w:ascii="Arial" w:hAnsi="Arial" w:eastAsia="Arial"/>
          <w:b w:val="0"/>
          <w:i w:val="0"/>
          <w:sz w:val="19"/>
        </w:rPr>
        <w:t xml:space="preserve">–  </w:t>
      </w:r>
      <w:r>
        <w:rPr>
          <w:rFonts w:ascii="Arial" w:hAnsi="Arial" w:eastAsia="Arial"/>
          <w:b w:val="0"/>
          <w:i w:val="0"/>
          <w:sz w:val="19"/>
        </w:rPr>
        <w:t>Pilotage du développement, de la recette et de la mise en production</w:t>
      </w:r>
    </w:p>
    <w:p>
      <w:pPr>
        <w:spacing w:before="0" w:after="20" w:line="252" w:lineRule="auto"/>
        <w:ind w:left="567" w:hanging="198"/>
      </w:pPr>
      <w:r>
        <w:rPr>
          <w:rFonts w:ascii="Arial" w:hAnsi="Arial" w:eastAsia="Arial"/>
          <w:b w:val="0"/>
          <w:i w:val="0"/>
          <w:sz w:val="19"/>
        </w:rPr>
        <w:t xml:space="preserve">–  </w:t>
      </w:r>
      <w:r>
        <w:rPr>
          <w:rFonts w:ascii="Arial" w:hAnsi="Arial" w:eastAsia="Arial"/>
          <w:b w:val="0"/>
          <w:i w:val="0"/>
          <w:sz w:val="19"/>
        </w:rPr>
        <w:t>Gestion des risques et animation des instances projets (COSUI, COPIL)</w:t>
      </w:r>
    </w:p>
    <w:p>
      <w:pPr>
        <w:spacing w:before="0" w:after="20" w:line="252" w:lineRule="auto"/>
        <w:ind w:left="567" w:hanging="198"/>
      </w:pPr>
      <w:r>
        <w:rPr>
          <w:rFonts w:ascii="Arial" w:hAnsi="Arial" w:eastAsia="Arial"/>
          <w:b w:val="0"/>
          <w:i w:val="0"/>
          <w:sz w:val="19"/>
        </w:rPr>
        <w:t xml:space="preserve">–  </w:t>
      </w:r>
      <w:r>
        <w:rPr>
          <w:rFonts w:ascii="Arial" w:hAnsi="Arial" w:eastAsia="Arial"/>
          <w:b w:val="0"/>
          <w:i w:val="0"/>
          <w:sz w:val="19"/>
        </w:rPr>
        <w:t>Accompagnement du déploiement auprès des fonctions Finance et RH</w:t>
      </w:r>
    </w:p>
    <w:p>
      <w:pPr>
        <w:spacing w:before="0" w:after="20" w:line="252" w:lineRule="auto"/>
        <w:ind w:left="283" w:hanging="198"/>
      </w:pPr>
      <w:r>
        <w:rPr>
          <w:rFonts w:ascii="Arial" w:hAnsi="Arial" w:eastAsia="Arial"/>
          <w:b w:val="0"/>
          <w:i w:val="0"/>
          <w:sz w:val="19"/>
        </w:rPr>
        <w:t xml:space="preserve">•  </w:t>
      </w:r>
      <w:r>
        <w:rPr>
          <w:rFonts w:ascii="Arial" w:hAnsi="Arial" w:eastAsia="Arial"/>
          <w:b/>
          <w:i w:val="0"/>
          <w:sz w:val="19"/>
        </w:rPr>
        <w:t>Phase RUN :</w:t>
      </w:r>
    </w:p>
    <w:p>
      <w:pPr>
        <w:spacing w:before="0" w:after="20" w:line="252" w:lineRule="auto"/>
        <w:ind w:left="567" w:hanging="198"/>
      </w:pPr>
      <w:r>
        <w:rPr>
          <w:rFonts w:ascii="Arial" w:hAnsi="Arial" w:eastAsia="Arial"/>
          <w:b w:val="0"/>
          <w:i w:val="0"/>
          <w:sz w:val="19"/>
        </w:rPr>
        <w:t xml:space="preserve">–  </w:t>
      </w:r>
      <w:r>
        <w:rPr>
          <w:rFonts w:ascii="Arial" w:hAnsi="Arial" w:eastAsia="Arial"/>
          <w:b w:val="0"/>
          <w:i w:val="0"/>
          <w:sz w:val="19"/>
        </w:rPr>
        <w:t>Monitoring quotidien d'une dizaine de robots en production et gestion des incidents</w:t>
      </w:r>
    </w:p>
    <w:p>
      <w:pPr>
        <w:spacing w:before="0" w:after="20" w:line="252" w:lineRule="auto"/>
        <w:ind w:left="567" w:hanging="198"/>
      </w:pPr>
      <w:r>
        <w:rPr>
          <w:rFonts w:ascii="Arial" w:hAnsi="Arial" w:eastAsia="Arial"/>
          <w:b w:val="0"/>
          <w:i w:val="0"/>
          <w:sz w:val="19"/>
        </w:rPr>
        <w:t xml:space="preserve">–  </w:t>
      </w:r>
      <w:r>
        <w:rPr>
          <w:rFonts w:ascii="Arial" w:hAnsi="Arial" w:eastAsia="Arial"/>
          <w:b w:val="0"/>
          <w:i w:val="0"/>
          <w:sz w:val="19"/>
        </w:rPr>
        <w:t>Suivi de la performance des solutions déployées (ROI, fiabilité, adoption)</w:t>
      </w:r>
    </w:p>
    <w:p>
      <w:pPr>
        <w:spacing w:before="0" w:after="20" w:line="252" w:lineRule="auto"/>
        <w:ind w:left="567" w:hanging="198"/>
      </w:pPr>
      <w:r>
        <w:rPr>
          <w:rFonts w:ascii="Arial" w:hAnsi="Arial" w:eastAsia="Arial"/>
          <w:b w:val="0"/>
          <w:i w:val="0"/>
          <w:sz w:val="19"/>
        </w:rPr>
        <w:t xml:space="preserve">–  </w:t>
      </w:r>
      <w:r>
        <w:rPr>
          <w:rFonts w:ascii="Arial" w:hAnsi="Arial" w:eastAsia="Arial"/>
          <w:b w:val="0"/>
          <w:i w:val="0"/>
          <w:sz w:val="19"/>
        </w:rPr>
        <w:t>Identification et mise en œuvre d'axes d'amélioration continue</w:t>
      </w:r>
    </w:p>
    <w:p>
      <w:pPr>
        <w:keepNext/>
        <w:spacing w:before="100" w:after="0" w:line="240" w:lineRule="auto"/>
      </w:pPr>
      <w:r>
        <w:rPr>
          <w:rFonts w:ascii="Arial" w:hAnsi="Arial" w:eastAsia="Arial"/>
          <w:b/>
          <w:i w:val="0"/>
          <w:color w:val="1F3A5F"/>
          <w:sz w:val="19"/>
        </w:rPr>
        <w:t xml:space="preserve">2018 – 2022 | </w:t>
      </w:r>
      <w:r>
        <w:rPr>
          <w:rFonts w:ascii="Arial" w:hAnsi="Arial" w:eastAsia="Arial"/>
          <w:b/>
          <w:i w:val="0"/>
          <w:sz w:val="19"/>
        </w:rPr>
        <w:t>Retail &amp; VIP Guest Relations @ LOUIS VUITTON</w:t>
      </w:r>
    </w:p>
    <w:p>
      <w:pPr>
        <w:spacing w:before="0" w:after="20" w:line="252" w:lineRule="auto"/>
        <w:ind w:left="283" w:hanging="198"/>
      </w:pPr>
      <w:r>
        <w:rPr>
          <w:rFonts w:ascii="Arial" w:hAnsi="Arial" w:eastAsia="Arial"/>
          <w:b w:val="0"/>
          <w:i w:val="0"/>
          <w:sz w:val="19"/>
        </w:rPr>
        <w:t xml:space="preserve">•  </w:t>
      </w:r>
      <w:r>
        <w:rPr>
          <w:rFonts w:ascii="Arial" w:hAnsi="Arial" w:eastAsia="Arial"/>
          <w:b w:val="0"/>
          <w:i w:val="0"/>
          <w:sz w:val="19"/>
        </w:rPr>
        <w:t>Gestion d'une clientèle VIP internationale dans un environnement exigeant</w:t>
      </w:r>
    </w:p>
    <w:p>
      <w:pPr>
        <w:spacing w:before="0" w:after="20" w:line="252" w:lineRule="auto"/>
        <w:ind w:left="283" w:hanging="198"/>
      </w:pPr>
      <w:r>
        <w:rPr>
          <w:rFonts w:ascii="Arial" w:hAnsi="Arial" w:eastAsia="Arial"/>
          <w:b w:val="0"/>
          <w:i w:val="0"/>
          <w:sz w:val="19"/>
        </w:rPr>
        <w:t xml:space="preserve">•  </w:t>
      </w:r>
      <w:r>
        <w:rPr>
          <w:rFonts w:ascii="Arial" w:hAnsi="Arial" w:eastAsia="Arial"/>
          <w:b w:val="0"/>
          <w:i w:val="0"/>
          <w:sz w:val="19"/>
        </w:rPr>
        <w:t>Sens du service, communication et adaptation en contexte multiculturel</w:t>
      </w:r>
    </w:p>
    <w:p>
      <w:pPr>
        <w:spacing w:before="140" w:after="60" w:line="240" w:lineRule="auto"/>
        <w:pBdr>
          <w:bottom w:val="single" w:sz="6" w:space="1" w:color="1F3A5F"/>
        </w:pBdr>
      </w:pPr>
      <w:r>
        <w:rPr>
          <w:rFonts w:ascii="Arial" w:hAnsi="Arial" w:eastAsia="Arial"/>
          <w:b/>
          <w:i w:val="0"/>
          <w:color w:val="1F3A5F"/>
          <w:sz w:val="21"/>
        </w:rPr>
        <w:t>FORMATION</w:t>
      </w:r>
    </w:p>
    <w:p>
      <w:pPr>
        <w:tabs>
          <w:tab w:pos="1474" w:val="left"/>
        </w:tabs>
        <w:spacing w:before="0" w:after="0" w:line="240" w:lineRule="auto"/>
        <w:ind w:left="1474" w:hanging="1474"/>
      </w:pPr>
      <w:r>
        <w:rPr>
          <w:rFonts w:ascii="Arial" w:hAnsi="Arial" w:eastAsia="Arial"/>
          <w:b/>
          <w:i w:val="0"/>
          <w:color w:val="1F3A5F"/>
          <w:sz w:val="19"/>
        </w:rPr>
        <w:t>2024 – 2025</w:t>
      </w:r>
      <w:r>
        <w:rPr>
          <w:rFonts w:ascii="Arial" w:hAnsi="Arial" w:eastAsia="Arial"/>
          <w:b w:val="0"/>
          <w:i w:val="0"/>
          <w:sz w:val="19"/>
        </w:rPr>
        <w:tab/>
      </w:r>
      <w:r>
        <w:rPr>
          <w:rFonts w:ascii="Arial" w:hAnsi="Arial" w:eastAsia="Arial"/>
          <w:b/>
          <w:i w:val="0"/>
          <w:sz w:val="19"/>
        </w:rPr>
        <w:t>Mastère spécialisé en Management des Systèmes d'Information en Réseaux</w:t>
      </w:r>
      <w:r>
        <w:rPr>
          <w:rFonts w:ascii="Arial" w:hAnsi="Arial" w:eastAsia="Arial"/>
          <w:b w:val="0"/>
          <w:i w:val="0"/>
          <w:sz w:val="19"/>
        </w:rPr>
        <w:t xml:space="preserve"> – Major de promotion</w:t>
      </w:r>
    </w:p>
    <w:p>
      <w:pPr>
        <w:spacing w:before="0" w:after="40" w:line="240" w:lineRule="auto"/>
        <w:ind w:left="1474"/>
      </w:pPr>
      <w:r>
        <w:rPr>
          <w:rFonts w:ascii="Arial" w:hAnsi="Arial" w:eastAsia="Arial"/>
          <w:b w:val="0"/>
          <w:i/>
          <w:color w:val="555555"/>
          <w:sz w:val="19"/>
        </w:rPr>
        <w:t>ESSEC Business School &amp; Télécom Paris</w:t>
      </w:r>
    </w:p>
    <w:p>
      <w:pPr>
        <w:tabs>
          <w:tab w:pos="1474" w:val="left"/>
        </w:tabs>
        <w:spacing w:before="0" w:after="0" w:line="240" w:lineRule="auto"/>
        <w:ind w:left="1474" w:hanging="1474"/>
      </w:pPr>
      <w:r>
        <w:rPr>
          <w:rFonts w:ascii="Arial" w:hAnsi="Arial" w:eastAsia="Arial"/>
          <w:b/>
          <w:i w:val="0"/>
          <w:color w:val="1F3A5F"/>
          <w:sz w:val="19"/>
        </w:rPr>
        <w:t>2022 – 2023</w:t>
      </w:r>
      <w:r>
        <w:rPr>
          <w:rFonts w:ascii="Arial" w:hAnsi="Arial" w:eastAsia="Arial"/>
          <w:b w:val="0"/>
          <w:i w:val="0"/>
          <w:sz w:val="19"/>
        </w:rPr>
        <w:tab/>
      </w:r>
      <w:r>
        <w:rPr>
          <w:rFonts w:ascii="Arial" w:hAnsi="Arial" w:eastAsia="Arial"/>
          <w:b/>
          <w:i w:val="0"/>
          <w:sz w:val="19"/>
        </w:rPr>
        <w:t>Master 2 en Projets Informatiques et Stratégie d'entreprise</w:t>
      </w:r>
      <w:r>
        <w:rPr>
          <w:rFonts w:ascii="Arial" w:hAnsi="Arial" w:eastAsia="Arial"/>
          <w:b w:val="0"/>
          <w:i w:val="0"/>
          <w:sz w:val="19"/>
        </w:rPr>
        <w:t xml:space="preserve"> – Major de promotion</w:t>
      </w:r>
    </w:p>
    <w:p>
      <w:pPr>
        <w:spacing w:before="0" w:after="40" w:line="240" w:lineRule="auto"/>
        <w:ind w:left="1474"/>
      </w:pPr>
      <w:r>
        <w:rPr>
          <w:rFonts w:ascii="Arial" w:hAnsi="Arial" w:eastAsia="Arial"/>
          <w:b w:val="0"/>
          <w:i/>
          <w:color w:val="555555"/>
          <w:sz w:val="19"/>
        </w:rPr>
        <w:t>Université Paris Cité</w:t>
      </w:r>
    </w:p>
    <w:p>
      <w:pPr>
        <w:tabs>
          <w:tab w:pos="1474" w:val="left"/>
        </w:tabs>
        <w:spacing w:before="0" w:after="20" w:line="240" w:lineRule="auto"/>
        <w:ind w:left="1474" w:hanging="1474"/>
      </w:pPr>
      <w:r>
        <w:rPr>
          <w:rFonts w:ascii="Arial" w:hAnsi="Arial" w:eastAsia="Arial"/>
          <w:b/>
          <w:i w:val="0"/>
          <w:color w:val="1F3A5F"/>
          <w:sz w:val="19"/>
        </w:rPr>
        <w:t>Avant 2016</w:t>
      </w:r>
      <w:r>
        <w:rPr>
          <w:rFonts w:ascii="Arial" w:hAnsi="Arial" w:eastAsia="Arial"/>
          <w:b w:val="0"/>
          <w:i w:val="0"/>
          <w:sz w:val="19"/>
        </w:rPr>
        <w:tab/>
      </w:r>
      <w:r>
        <w:rPr>
          <w:rFonts w:ascii="Arial" w:hAnsi="Arial" w:eastAsia="Arial"/>
          <w:b/>
          <w:i w:val="0"/>
          <w:sz w:val="19"/>
        </w:rPr>
        <w:t>Master en Littératures Françaises</w:t>
      </w:r>
      <w:r>
        <w:rPr>
          <w:rFonts w:ascii="Arial" w:hAnsi="Arial" w:eastAsia="Arial"/>
          <w:b w:val="0"/>
          <w:i w:val="0"/>
          <w:sz w:val="19"/>
        </w:rPr>
        <w:t xml:space="preserve"> – Université Paris-Sorbonne</w:t>
      </w:r>
    </w:p>
    <w:p>
      <w:pPr>
        <w:tabs>
          <w:tab w:pos="1474" w:val="left"/>
        </w:tabs>
        <w:spacing w:before="0" w:after="20" w:line="240" w:lineRule="auto"/>
        <w:ind w:left="1474" w:hanging="1474"/>
      </w:pPr>
      <w:r>
        <w:rPr>
          <w:rFonts w:ascii="Arial" w:hAnsi="Arial" w:eastAsia="Arial"/>
          <w:b/>
          <w:i w:val="0"/>
          <w:color w:val="1F3A5F"/>
          <w:sz w:val="19"/>
        </w:rPr>
      </w:r>
      <w:r>
        <w:rPr>
          <w:rFonts w:ascii="Arial" w:hAnsi="Arial" w:eastAsia="Arial"/>
          <w:b w:val="0"/>
          <w:i w:val="0"/>
          <w:sz w:val="19"/>
        </w:rPr>
        <w:tab/>
      </w:r>
      <w:r>
        <w:rPr>
          <w:rFonts w:ascii="Arial" w:hAnsi="Arial" w:eastAsia="Arial"/>
          <w:b/>
          <w:i w:val="0"/>
          <w:sz w:val="19"/>
        </w:rPr>
        <w:t>Licence en Langue Française</w:t>
      </w:r>
      <w:r>
        <w:rPr>
          <w:rFonts w:ascii="Arial" w:hAnsi="Arial" w:eastAsia="Arial"/>
          <w:b w:val="0"/>
          <w:i w:val="0"/>
          <w:sz w:val="19"/>
        </w:rPr>
        <w:t xml:space="preserve"> – Xi'an JiaoTong University, Chine</w:t>
      </w:r>
    </w:p>
    <w:p>
      <w:pPr>
        <w:spacing w:before="140" w:after="60" w:line="240" w:lineRule="auto"/>
        <w:pBdr>
          <w:bottom w:val="single" w:sz="6" w:space="1" w:color="1F3A5F"/>
        </w:pBdr>
      </w:pPr>
      <w:r>
        <w:rPr>
          <w:rFonts w:ascii="Arial" w:hAnsi="Arial" w:eastAsia="Arial"/>
          <w:b/>
          <w:i w:val="0"/>
          <w:color w:val="1F3A5F"/>
          <w:sz w:val="21"/>
        </w:rPr>
        <w:t>COMPÉTENCES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sz w:val="19"/>
        </w:rPr>
        <w:t xml:space="preserve">Gestion de projet : </w:t>
      </w:r>
      <w:r>
        <w:rPr>
          <w:rFonts w:ascii="Arial" w:hAnsi="Arial" w:eastAsia="Arial"/>
          <w:b w:val="0"/>
          <w:i w:val="0"/>
          <w:sz w:val="19"/>
        </w:rPr>
        <w:t>cadrage, recueil des besoins, cahier des charges, spécifications fonctionnelles, planification, coordination métiers / IT, recette, mise en production, gestion des risques, COPIL / COSUI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sz w:val="19"/>
        </w:rPr>
        <w:t xml:space="preserve">Méthodologies : </w:t>
      </w:r>
      <w:r>
        <w:rPr>
          <w:rFonts w:ascii="Arial" w:hAnsi="Arial" w:eastAsia="Arial"/>
          <w:b w:val="0"/>
          <w:i w:val="0"/>
          <w:sz w:val="19"/>
        </w:rPr>
        <w:t>Cycle en V, Agile, hybride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sz w:val="19"/>
        </w:rPr>
        <w:t xml:space="preserve">Transformation &amp; IA : </w:t>
      </w:r>
      <w:r>
        <w:rPr>
          <w:rFonts w:ascii="Arial" w:hAnsi="Arial" w:eastAsia="Arial"/>
          <w:b w:val="0"/>
          <w:i w:val="0"/>
          <w:sz w:val="19"/>
        </w:rPr>
        <w:t>GenAI, RAG, Copilot, RPA, POC, qualification de use cases, ROI, conduite du changement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sz w:val="19"/>
        </w:rPr>
        <w:t xml:space="preserve">Environnement SI : </w:t>
      </w:r>
      <w:r>
        <w:rPr>
          <w:rFonts w:ascii="Arial" w:hAnsi="Arial" w:eastAsia="Arial"/>
          <w:b w:val="0"/>
          <w:i w:val="0"/>
          <w:sz w:val="19"/>
        </w:rPr>
        <w:t>SI Finance, SIRH, SAP, intégration applicative, sécurité, conformité et gouvernance des SI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sz w:val="19"/>
        </w:rPr>
        <w:t xml:space="preserve">Outils : </w:t>
      </w:r>
      <w:r>
        <w:rPr>
          <w:rFonts w:ascii="Arial" w:hAnsi="Arial" w:eastAsia="Arial"/>
          <w:b w:val="0"/>
          <w:i w:val="0"/>
          <w:sz w:val="19"/>
        </w:rPr>
        <w:t>Power Apps, Power Automate, Power BI, SharePoint</w:t>
      </w:r>
    </w:p>
    <w:p>
      <w:pPr>
        <w:spacing w:before="0" w:after="20" w:line="252" w:lineRule="auto"/>
      </w:pPr>
      <w:r>
        <w:rPr>
          <w:rFonts w:ascii="Arial" w:hAnsi="Arial" w:eastAsia="Arial"/>
          <w:b/>
          <w:i w:val="0"/>
          <w:sz w:val="19"/>
        </w:rPr>
        <w:t xml:space="preserve">Langages (notions) : </w:t>
      </w:r>
      <w:r>
        <w:rPr>
          <w:rFonts w:ascii="Arial" w:hAnsi="Arial" w:eastAsia="Arial"/>
          <w:b w:val="0"/>
          <w:i w:val="0"/>
          <w:sz w:val="19"/>
        </w:rPr>
        <w:t>Python, SQL, Java, PHP, C, C#, HTML/CSS</w:t>
      </w:r>
    </w:p>
    <w:p>
      <w:pPr>
        <w:spacing w:before="140" w:after="60" w:line="240" w:lineRule="auto"/>
        <w:pBdr>
          <w:bottom w:val="single" w:sz="6" w:space="1" w:color="1F3A5F"/>
        </w:pBdr>
      </w:pPr>
      <w:r>
        <w:rPr>
          <w:rFonts w:ascii="Arial" w:hAnsi="Arial" w:eastAsia="Arial"/>
          <w:b/>
          <w:i w:val="0"/>
          <w:color w:val="1F3A5F"/>
          <w:sz w:val="21"/>
        </w:rPr>
        <w:t>LANGUES</w:t>
      </w:r>
    </w:p>
    <w:p>
      <w:pPr>
        <w:spacing w:before="0" w:after="0" w:line="240" w:lineRule="auto"/>
      </w:pPr>
      <w:r>
        <w:rPr>
          <w:rFonts w:ascii="Arial" w:hAnsi="Arial" w:eastAsia="Arial"/>
          <w:b w:val="0"/>
          <w:i w:val="0"/>
          <w:sz w:val="19"/>
        </w:rPr>
        <w:t>Anglais : professionnel (TOEIC 955/990) | Français : bilingue | Chinois : langue maternelle</w:t>
      </w:r>
    </w:p>
    <w:p>
      <w:pPr>
        <w:spacing w:before="140" w:after="60" w:line="240" w:lineRule="auto"/>
        <w:pBdr>
          <w:bottom w:val="single" w:sz="6" w:space="1" w:color="1F3A5F"/>
        </w:pBdr>
      </w:pPr>
      <w:r>
        <w:rPr>
          <w:rFonts w:ascii="Arial" w:hAnsi="Arial" w:eastAsia="Arial"/>
          <w:b/>
          <w:i w:val="0"/>
          <w:color w:val="1F3A5F"/>
          <w:sz w:val="21"/>
        </w:rPr>
        <w:t>CENTRES D'INTÉRÊT</w:t>
      </w:r>
    </w:p>
    <w:p>
      <w:pPr>
        <w:spacing w:before="0" w:after="0" w:line="240" w:lineRule="auto"/>
      </w:pPr>
      <w:r>
        <w:rPr>
          <w:rFonts w:ascii="Arial" w:hAnsi="Arial" w:eastAsia="Arial"/>
          <w:b w:val="0"/>
          <w:i w:val="0"/>
          <w:sz w:val="19"/>
        </w:rPr>
        <w:t>Sport (crossfit, natation), voyages (18 pays visités), engagement associatif pour la protection animale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