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ind w:left="0" w:right="2649"/>
      </w:pPr>
      <w:r>
        <w:drawing>
          <wp:anchor distT="0" distB="0" distL="114300" distR="0" simplePos="0" relativeHeight="251658240" behindDoc="0" locked="0" layoutInCell="1" allowOverlap="1">
            <wp:simplePos x="0" y="0"/>
            <wp:positionH relativeFrom="margin">
              <wp:align>right</wp:align>
            </wp:positionH>
            <wp:positionV relativeFrom="paragraph">
              <wp:posOffset>36000</wp:posOffset>
            </wp:positionV>
            <wp:extent cx="1368000" cy="1036209"/>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hoto_header.png"/>
                    <pic:cNvPicPr/>
                  </pic:nvPicPr>
                  <pic:blipFill>
                    <a:blip r:embed="rId9"/>
                    <a:stretch>
                      <a:fillRect/>
                    </a:stretch>
                  </pic:blipFill>
                  <pic:spPr>
                    <a:xfrm>
                      <a:off x="0" y="0"/>
                      <a:ext cx="1368000" cy="1036209"/>
                    </a:xfrm>
                    <a:prstGeom prst="rect"/>
                  </pic:spPr>
                </pic:pic>
              </a:graphicData>
            </a:graphic>
          </wp:anchor>
        </w:drawing>
      </w:r>
      <w:r>
        <w:rPr>
          <w:rFonts w:ascii="Times New Roman" w:hAnsi="Times New Roman" w:eastAsia="Times New Roman"/>
          <w:b/>
          <w:i w:val="0"/>
          <w:color w:val="000000"/>
          <w:sz w:val="20"/>
          <w:u w:val="none"/>
        </w:rPr>
        <w:t>CHEF DE PROJET SI | TRANSFORMATION DIGITALE | PROJETS APPLICATIFS</w:t>
      </w:r>
    </w:p>
    <w:p>
      <w:pPr>
        <w:keepNext w:val="0"/>
        <w:spacing w:before="120" w:after="20" w:line="240" w:lineRule="auto"/>
        <w:ind w:left="0" w:right="2649"/>
      </w:pPr>
      <w:r>
        <w:rPr>
          <w:rFonts w:ascii="Times New Roman" w:hAnsi="Times New Roman" w:eastAsia="Times New Roman"/>
          <w:b/>
          <w:i w:val="0"/>
          <w:color w:val="000000"/>
          <w:sz w:val="20"/>
          <w:u w:val="none"/>
        </w:rPr>
        <w:t>NICOLAS QI GUO</w:t>
      </w:r>
    </w:p>
    <w:p>
      <w:pPr>
        <w:keepNext w:val="0"/>
        <w:spacing w:before="0" w:after="0" w:line="240" w:lineRule="auto"/>
        <w:ind w:left="0" w:right="2649"/>
      </w:pPr>
      <w:r>
        <w:rPr>
          <w:rFonts w:ascii="Times New Roman" w:hAnsi="Times New Roman" w:eastAsia="Times New Roman"/>
          <w:b w:val="0"/>
          <w:i w:val="0"/>
          <w:color w:val="000000"/>
          <w:sz w:val="18"/>
          <w:u w:val="none"/>
        </w:rPr>
        <w:t>Orléans, France | Mobilité Île-de-France</w:t>
      </w:r>
    </w:p>
    <w:p>
      <w:pPr>
        <w:keepNext w:val="0"/>
        <w:spacing w:before="0" w:after="0" w:line="240" w:lineRule="auto"/>
        <w:ind w:left="0" w:right="2649"/>
      </w:pPr>
      <w:r>
        <w:rPr>
          <w:rFonts w:ascii="Times New Roman" w:hAnsi="Times New Roman" w:eastAsia="Times New Roman"/>
          <w:b w:val="0"/>
          <w:i w:val="0"/>
          <w:color w:val="000000"/>
          <w:sz w:val="18"/>
          <w:u w:val="none"/>
        </w:rPr>
        <w:t>+33 6 30 23 24 41 | qi.guo@essec.edu</w:t>
      </w:r>
    </w:p>
    <w:p>
      <w:pPr>
        <w:keepNext w:val="0"/>
        <w:spacing w:before="140" w:after="0" w:line="240" w:lineRule="auto"/>
        <w:ind w:left="0" w:right="2649"/>
        <w:jc w:val="both"/>
      </w:pPr>
      <w:r>
        <w:rPr>
          <w:rFonts w:ascii="Times New Roman" w:hAnsi="Times New Roman" w:eastAsia="Times New Roman"/>
          <w:b/>
          <w:i w:val="0"/>
          <w:color w:val="000000"/>
          <w:sz w:val="19"/>
          <w:u w:val="none"/>
        </w:rPr>
        <w:t xml:space="preserve">Profil : </w:t>
      </w:r>
      <w:r>
        <w:rPr>
          <w:rFonts w:ascii="Times New Roman" w:hAnsi="Times New Roman" w:eastAsia="Times New Roman"/>
          <w:b w:val="0"/>
          <w:i w:val="0"/>
          <w:color w:val="000000"/>
          <w:sz w:val="19"/>
          <w:u w:val="none"/>
        </w:rPr>
        <w:t>3 ans d'expérience au sein de grands groupes (BNP Paribas, La Poste). Pilotage de projets de bout en bout, coordination transverse Métiers–IT, gouvernance et conduite du changement. Double compétence fonctionnelle et technique : développement low-code (Power Platform) et pratique du développement applicatif en projets académiques (Java, C#, C, PHP, SQL).</w:t>
      </w:r>
    </w:p>
    <w:p>
      <w:pPr>
        <w:keepNext w:val="0"/>
        <w:spacing w:before="240" w:after="140" w:line="24" w:lineRule="auto"/>
        <w:pBdr>
          <w:bottom w:val="single" w:sz="4" w:space="1" w:color="A6A6A6"/>
        </w:pBdr>
      </w:pPr>
      <w:r>
        <w:rPr>
          <w:rFonts w:ascii="Times New Roman" w:hAnsi="Times New Roman" w:eastAsia="Times New Roman"/>
          <w:b w:val="0"/>
          <w:i w:val="0"/>
          <w:color w:val="000000"/>
          <w:sz w:val="4"/>
          <w:u w:val="none"/>
        </w:rPr>
      </w:r>
    </w:p>
    <w:p>
      <w:pPr>
        <w:keepNext/>
        <w:spacing w:before="0" w:after="100" w:line="240" w:lineRule="auto"/>
      </w:pPr>
      <w:r>
        <w:rPr>
          <w:rFonts w:ascii="Times New Roman" w:hAnsi="Times New Roman" w:eastAsia="Times New Roman"/>
          <w:b w:val="0"/>
          <w:i w:val="0"/>
          <w:color w:val="000000"/>
          <w:sz w:val="19"/>
          <w:u w:val="none"/>
        </w:rPr>
        <w:t>EXPÉRIENCES PROFESSIONNELLES</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2024 – 2025</w:t>
        <w:tab/>
      </w:r>
      <w:r>
        <w:rPr>
          <w:rFonts w:ascii="Times New Roman" w:hAnsi="Times New Roman" w:eastAsia="Times New Roman"/>
          <w:b/>
          <w:i w:val="0"/>
          <w:color w:val="000000"/>
          <w:sz w:val="19"/>
          <w:u w:val="none"/>
        </w:rPr>
        <w:t>Digital Transformation Project Manager – AIR TECH @ BNP PARIBAS</w:t>
      </w:r>
    </w:p>
    <w:p>
      <w:pPr>
        <w:keepNext/>
        <w:tabs>
          <w:tab w:pos="822" w:val="center"/>
          <w:tab w:pos="1814" w:val="left"/>
        </w:tabs>
        <w:spacing w:before="0" w:after="40" w:line="240" w:lineRule="auto"/>
        <w:ind w:left="1814" w:hanging="1814"/>
      </w:pP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7"/>
          <w:u w:val="none"/>
        </w:rPr>
        <w:t>Alternance</w:t>
      </w: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8"/>
          <w:u w:val="none"/>
        </w:rPr>
        <w:t>Périmètre : Compliance &amp; Risk (AML, sanctions, contrôle et monitoring, sécurité financière)</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Structuration et coordination des initiatives IA &amp; RPA : </w:t>
      </w:r>
      <w:r>
        <w:rPr>
          <w:rFonts w:ascii="Times New Roman" w:hAnsi="Times New Roman" w:eastAsia="Times New Roman"/>
          <w:b w:val="0"/>
          <w:i w:val="0"/>
          <w:color w:val="000000"/>
          <w:sz w:val="19"/>
          <w:u w:val="none"/>
        </w:rPr>
        <w:t>conception et mise en place d'un dispositif de collecte, de qualification et de priorisation des use cases ; 20+ use cases identifiés, dont 3 retenus et lancés en projet</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Pilotage et gouvernance des projets IA : </w:t>
      </w:r>
      <w:r>
        <w:rPr>
          <w:rFonts w:ascii="Times New Roman" w:hAnsi="Times New Roman" w:eastAsia="Times New Roman"/>
          <w:b w:val="0"/>
          <w:i w:val="0"/>
          <w:color w:val="000000"/>
          <w:sz w:val="19"/>
          <w:u w:val="none"/>
        </w:rPr>
        <w:t>recueil et formalisation des besoins, coordination transverse Métiers–IT, conduite de POC, accompagnement du déploiement de 3 solutions IA (GenAI, RAG, Copilot) et reporting auprès des instances de gouvernance</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Conduite du changement </w:t>
      </w:r>
      <w:r>
        <w:rPr>
          <w:rFonts w:ascii="Times New Roman" w:hAnsi="Times New Roman" w:eastAsia="Times New Roman"/>
          <w:b w:val="0"/>
          <w:i w:val="0"/>
          <w:color w:val="000000"/>
          <w:sz w:val="19"/>
          <w:u w:val="none"/>
        </w:rPr>
        <w:t>dans le cadre du déploiement d'un programme IA transverse à grande échelle (5 000+ collaborateurs) : animation d'un réseau de 70+ ambassadeurs IA, sessions d'onboarding et d'acculturation, événements communautaires</w:t>
      </w:r>
    </w:p>
    <w:p>
      <w:pPr>
        <w:keepNext/>
        <w:tabs>
          <w:tab w:pos="822" w:val="center"/>
          <w:tab w:pos="1814" w:val="left"/>
        </w:tabs>
        <w:spacing w:before="180" w:after="0" w:line="240" w:lineRule="auto"/>
        <w:ind w:left="1814" w:hanging="1814"/>
      </w:pPr>
      <w:r>
        <w:rPr>
          <w:rFonts w:ascii="Times New Roman" w:hAnsi="Times New Roman" w:eastAsia="Times New Roman"/>
          <w:b w:val="0"/>
          <w:i w:val="0"/>
          <w:color w:val="000000"/>
          <w:sz w:val="19"/>
          <w:u w:val="none"/>
        </w:rPr>
        <w:tab/>
        <w:t>2022 – 2024</w:t>
        <w:tab/>
      </w:r>
      <w:r>
        <w:rPr>
          <w:rFonts w:ascii="Times New Roman" w:hAnsi="Times New Roman" w:eastAsia="Times New Roman"/>
          <w:b/>
          <w:i w:val="0"/>
          <w:color w:val="000000"/>
          <w:sz w:val="19"/>
          <w:u w:val="none"/>
        </w:rPr>
        <w:t>Chef de Projet SI – Data Intelligence &amp; Innovation DTSFG @ LA POSTE GROUPE</w:t>
      </w:r>
    </w:p>
    <w:p>
      <w:pPr>
        <w:keepNext/>
        <w:tabs>
          <w:tab w:pos="822" w:val="center"/>
          <w:tab w:pos="1814" w:val="left"/>
        </w:tabs>
        <w:spacing w:before="0" w:after="40" w:line="240" w:lineRule="auto"/>
        <w:ind w:left="1814" w:hanging="1814"/>
      </w:pP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7"/>
          <w:u w:val="none"/>
        </w:rPr>
        <w:t>Alternance + CDD</w:t>
      </w: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8"/>
          <w:u w:val="none"/>
        </w:rPr>
        <w:t>Périmètre : Direction de la Transformation des Solutions Finance (SI Finance, SIRH, SAP)</w:t>
      </w:r>
    </w:p>
    <w:p>
      <w:pPr>
        <w:keepNext w:val="0"/>
        <w:tabs>
          <w:tab w:pos="2069" w:val="left"/>
        </w:tabs>
        <w:spacing w:before="0" w:after="2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Pilotage de projets d'automatisation (RPA &amp; Power Platform), dont 2 de bout en bout :</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Recueil et analyse des besoins métiers, rédaction des cahiers des charges et spécifications fonctionnelles et techniques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Coordination Métiers–IT pour la coconception des solutions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Développement low-code (Power Apps, Power Automate), recette et mise en production</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Gestion des risques et animation des instances projets (COSUI, COPIL)</w:t>
      </w:r>
    </w:p>
    <w:p>
      <w:pPr>
        <w:keepNext w:val="0"/>
        <w:tabs>
          <w:tab w:pos="2381" w:val="left"/>
        </w:tabs>
        <w:spacing w:before="0" w:after="4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Accompagnement du déploiement auprès des fonctions Finance et RH</w:t>
      </w:r>
    </w:p>
    <w:p>
      <w:pPr>
        <w:keepNext w:val="0"/>
        <w:tabs>
          <w:tab w:pos="2069" w:val="left"/>
        </w:tabs>
        <w:spacing w:before="0" w:after="2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Pilotage du RUN :</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Monitoring quotidien d'une dizaine de robots en production et gestion des incidents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Suivi de la performance des solutions déployées (ROI, fiabilité, adoption)</w:t>
      </w:r>
    </w:p>
    <w:p>
      <w:pPr>
        <w:keepNext w:val="0"/>
        <w:tabs>
          <w:tab w:pos="2381" w:val="left"/>
        </w:tabs>
        <w:spacing w:before="0" w:after="4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Identification et mise en œuvre d'axes d'amélioration continue</w:t>
      </w:r>
    </w:p>
    <w:p>
      <w:pPr>
        <w:keepNext/>
        <w:tabs>
          <w:tab w:pos="822" w:val="center"/>
          <w:tab w:pos="1814" w:val="left"/>
        </w:tabs>
        <w:spacing w:before="180" w:after="40" w:line="240" w:lineRule="auto"/>
        <w:ind w:left="1814" w:hanging="1814"/>
      </w:pPr>
      <w:r>
        <w:rPr>
          <w:rFonts w:ascii="Times New Roman" w:hAnsi="Times New Roman" w:eastAsia="Times New Roman"/>
          <w:b w:val="0"/>
          <w:i w:val="0"/>
          <w:color w:val="000000"/>
          <w:sz w:val="19"/>
          <w:u w:val="none"/>
        </w:rPr>
        <w:tab/>
        <w:t>2018 – 2022</w:t>
        <w:tab/>
      </w:r>
      <w:r>
        <w:rPr>
          <w:rFonts w:ascii="Times New Roman" w:hAnsi="Times New Roman" w:eastAsia="Times New Roman"/>
          <w:b/>
          <w:i w:val="0"/>
          <w:color w:val="000000"/>
          <w:sz w:val="19"/>
          <w:u w:val="none"/>
        </w:rPr>
        <w:t>Retail &amp; VIP Guest Relations @ LOUIS VUITTON</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val="0"/>
          <w:i w:val="0"/>
          <w:color w:val="000000"/>
          <w:sz w:val="19"/>
          <w:u w:val="none"/>
        </w:rPr>
        <w:t>Gestion d'une clientèle VIP internationale : sens du service et adaptation en contexte multiculturel</w:t>
      </w:r>
    </w:p>
    <w:p>
      <w:pPr>
        <w:keepNext w:val="0"/>
        <w:spacing w:before="120" w:after="100" w:line="24" w:lineRule="auto"/>
        <w:ind w:right="8391"/>
        <w:pBdr>
          <w:bottom w:val="single" w:sz="4" w:space="1" w:color="A6A6A6"/>
        </w:pBdr>
      </w:pPr>
      <w:r>
        <w:rPr>
          <w:rFonts w:ascii="Times New Roman" w:hAnsi="Times New Roman" w:eastAsia="Times New Roman"/>
          <w:b w:val="0"/>
          <w:i w:val="0"/>
          <w:color w:val="000000"/>
          <w:sz w:val="4"/>
          <w:u w:val="none"/>
        </w:rPr>
      </w:r>
    </w:p>
    <w:p>
      <w:pPr>
        <w:keepNext/>
        <w:spacing w:before="0" w:after="100" w:line="240" w:lineRule="auto"/>
      </w:pPr>
      <w:r>
        <w:rPr>
          <w:rFonts w:ascii="Times New Roman" w:hAnsi="Times New Roman" w:eastAsia="Times New Roman"/>
          <w:b w:val="0"/>
          <w:i w:val="0"/>
          <w:color w:val="000000"/>
          <w:sz w:val="19"/>
          <w:u w:val="none"/>
        </w:rPr>
        <w:t>FORMATION</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2024 – 2025</w:t>
        <w:tab/>
      </w:r>
      <w:r>
        <w:rPr>
          <w:rFonts w:ascii="Times New Roman" w:hAnsi="Times New Roman" w:eastAsia="Times New Roman"/>
          <w:b/>
          <w:i w:val="0"/>
          <w:color w:val="000000"/>
          <w:sz w:val="19"/>
          <w:u w:val="none"/>
        </w:rPr>
        <w:t>Mastère spécialisé en Management des Systèmes d'Information en Réseaux</w:t>
      </w:r>
      <w:r>
        <w:rPr>
          <w:rFonts w:ascii="Times New Roman" w:hAnsi="Times New Roman" w:eastAsia="Times New Roman"/>
          <w:b w:val="0"/>
          <w:i w:val="0"/>
          <w:color w:val="000000"/>
          <w:sz w:val="19"/>
          <w:u w:val="none"/>
        </w:rPr>
        <w:t xml:space="preserve"> – Major de promotion</w:t>
      </w:r>
    </w:p>
    <w:p>
      <w:pPr>
        <w:keepNext w:val="0"/>
        <w:spacing w:before="0" w:after="0" w:line="240" w:lineRule="auto"/>
        <w:ind w:left="1814"/>
      </w:pPr>
      <w:r>
        <w:rPr>
          <w:rFonts w:ascii="Times New Roman" w:hAnsi="Times New Roman" w:eastAsia="Times New Roman"/>
          <w:b w:val="0"/>
          <w:i w:val="0"/>
          <w:color w:val="000000"/>
          <w:sz w:val="19"/>
          <w:u w:val="none"/>
        </w:rPr>
        <w:t>ESSEC Business School &amp; Télécom Paris</w:t>
      </w:r>
    </w:p>
    <w:p>
      <w:pPr>
        <w:keepNext/>
        <w:tabs>
          <w:tab w:pos="822" w:val="center"/>
          <w:tab w:pos="1814" w:val="left"/>
        </w:tabs>
        <w:spacing w:before="80" w:after="0" w:line="240" w:lineRule="auto"/>
        <w:ind w:left="1814" w:hanging="1814"/>
      </w:pPr>
      <w:r>
        <w:rPr>
          <w:rFonts w:ascii="Times New Roman" w:hAnsi="Times New Roman" w:eastAsia="Times New Roman"/>
          <w:b w:val="0"/>
          <w:i w:val="0"/>
          <w:color w:val="000000"/>
          <w:sz w:val="19"/>
          <w:u w:val="none"/>
        </w:rPr>
        <w:tab/>
        <w:t>2022 – 2023</w:t>
        <w:tab/>
      </w:r>
      <w:r>
        <w:rPr>
          <w:rFonts w:ascii="Times New Roman" w:hAnsi="Times New Roman" w:eastAsia="Times New Roman"/>
          <w:b/>
          <w:i w:val="0"/>
          <w:color w:val="000000"/>
          <w:sz w:val="19"/>
          <w:u w:val="none"/>
        </w:rPr>
        <w:t>Master 2 en Projets Informatiques et Stratégie d'entreprise</w:t>
      </w:r>
      <w:r>
        <w:rPr>
          <w:rFonts w:ascii="Times New Roman" w:hAnsi="Times New Roman" w:eastAsia="Times New Roman"/>
          <w:b w:val="0"/>
          <w:i w:val="0"/>
          <w:color w:val="000000"/>
          <w:sz w:val="19"/>
          <w:u w:val="none"/>
        </w:rPr>
        <w:t xml:space="preserve"> – Major de promotion</w:t>
      </w:r>
    </w:p>
    <w:p>
      <w:pPr>
        <w:keepNext w:val="0"/>
        <w:spacing w:before="0" w:after="0" w:line="240" w:lineRule="auto"/>
        <w:ind w:left="1814"/>
      </w:pPr>
      <w:r>
        <w:rPr>
          <w:rFonts w:ascii="Times New Roman" w:hAnsi="Times New Roman" w:eastAsia="Times New Roman"/>
          <w:b w:val="0"/>
          <w:i w:val="0"/>
          <w:color w:val="000000"/>
          <w:sz w:val="19"/>
          <w:u w:val="none"/>
        </w:rPr>
        <w:t>Université Paris Cité</w:t>
      </w:r>
    </w:p>
    <w:p>
      <w:pPr>
        <w:keepNext w:val="0"/>
        <w:spacing w:before="20" w:after="0" w:line="240" w:lineRule="auto"/>
        <w:ind w:left="1814"/>
      </w:pPr>
      <w:r>
        <w:rPr>
          <w:rFonts w:ascii="Times New Roman" w:hAnsi="Times New Roman" w:eastAsia="Times New Roman"/>
          <w:b w:val="0"/>
          <w:i/>
          <w:color w:val="000000"/>
          <w:sz w:val="18"/>
          <w:u w:val="none"/>
        </w:rPr>
        <w:t>Projets de développement : site e-commerce (PHP), BDD médicale (SQL), jeux (Java/C#), calcul d'impôt (C)</w:t>
      </w:r>
    </w:p>
    <w:p>
      <w:pPr>
        <w:keepNext/>
        <w:tabs>
          <w:tab w:pos="822" w:val="center"/>
          <w:tab w:pos="1814" w:val="left"/>
        </w:tabs>
        <w:spacing w:before="80" w:after="0" w:line="240" w:lineRule="auto"/>
        <w:ind w:left="1814" w:hanging="1814"/>
      </w:pPr>
      <w:r>
        <w:rPr>
          <w:rFonts w:ascii="Times New Roman" w:hAnsi="Times New Roman" w:eastAsia="Times New Roman"/>
          <w:b w:val="0"/>
          <w:i w:val="0"/>
          <w:color w:val="000000"/>
          <w:sz w:val="19"/>
          <w:u w:val="none"/>
        </w:rPr>
        <w:tab/>
        <w:t>Avant 2016</w:t>
        <w:tab/>
      </w:r>
      <w:r>
        <w:rPr>
          <w:rFonts w:ascii="Times New Roman" w:hAnsi="Times New Roman" w:eastAsia="Times New Roman"/>
          <w:b/>
          <w:i w:val="0"/>
          <w:color w:val="000000"/>
          <w:sz w:val="19"/>
          <w:u w:val="none"/>
        </w:rPr>
        <w:t>Master en Littératures Françaises</w:t>
      </w:r>
      <w:r>
        <w:rPr>
          <w:rFonts w:ascii="Times New Roman" w:hAnsi="Times New Roman" w:eastAsia="Times New Roman"/>
          <w:b w:val="0"/>
          <w:i w:val="0"/>
          <w:color w:val="000000"/>
          <w:sz w:val="19"/>
          <w:u w:val="none"/>
        </w:rPr>
        <w:t xml:space="preserve"> – Université Paris-Sorbonne</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ab/>
      </w:r>
      <w:r>
        <w:rPr>
          <w:rFonts w:ascii="Times New Roman" w:hAnsi="Times New Roman" w:eastAsia="Times New Roman"/>
          <w:b/>
          <w:i w:val="0"/>
          <w:color w:val="000000"/>
          <w:sz w:val="19"/>
          <w:u w:val="none"/>
        </w:rPr>
        <w:t>Licence en Langue Française</w:t>
      </w:r>
      <w:r>
        <w:rPr>
          <w:rFonts w:ascii="Times New Roman" w:hAnsi="Times New Roman" w:eastAsia="Times New Roman"/>
          <w:b w:val="0"/>
          <w:i w:val="0"/>
          <w:color w:val="000000"/>
          <w:sz w:val="19"/>
          <w:u w:val="none"/>
        </w:rPr>
        <w:t xml:space="preserve"> – Xi'an JiaoTong University, Chine</w:t>
      </w:r>
    </w:p>
    <w:p>
      <w:pPr>
        <w:keepNext w:val="0"/>
        <w:spacing w:before="120" w:after="10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t>COMPÉTENCES</w:t>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Gestion de projet :</w:t>
      </w:r>
      <w:r>
        <w:rPr>
          <w:rFonts w:ascii="Times New Roman" w:hAnsi="Times New Roman" w:eastAsia="Times New Roman"/>
          <w:b w:val="0"/>
          <w:i w:val="0"/>
          <w:color w:val="000000"/>
          <w:sz w:val="19"/>
          <w:u w:val="none"/>
        </w:rPr>
        <w:tab/>
        <w:t>Cadrage, recueil des besoins, spécifications, recette, mise en production</w:t>
        <w:br/>
        <w:t>Gouvernance (COPIL / COSUI), gestion des risques – Cycle en V, Agile, hybride</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Environnement SI :</w:t>
      </w:r>
      <w:r>
        <w:rPr>
          <w:rFonts w:ascii="Times New Roman" w:hAnsi="Times New Roman" w:eastAsia="Times New Roman"/>
          <w:b w:val="0"/>
          <w:i w:val="0"/>
          <w:color w:val="000000"/>
          <w:sz w:val="19"/>
          <w:u w:val="none"/>
        </w:rPr>
        <w:tab/>
        <w:t>SI Finance, SAP (S/4HANA, ECC), intégration applicative, gouvernance des SI</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Outils digitaux :</w:t>
      </w:r>
      <w:r>
        <w:rPr>
          <w:rFonts w:ascii="Times New Roman" w:hAnsi="Times New Roman" w:eastAsia="Times New Roman"/>
          <w:b w:val="0"/>
          <w:i w:val="0"/>
          <w:color w:val="000000"/>
          <w:sz w:val="19"/>
          <w:u w:val="none"/>
        </w:rPr>
        <w:tab/>
        <w:t>Power Apps, Power Automate, Power BI, SharePoint</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Langages (notions) :</w:t>
      </w:r>
      <w:r>
        <w:rPr>
          <w:rFonts w:ascii="Times New Roman" w:hAnsi="Times New Roman" w:eastAsia="Times New Roman"/>
          <w:b w:val="0"/>
          <w:i w:val="0"/>
          <w:color w:val="000000"/>
          <w:sz w:val="19"/>
          <w:u w:val="none"/>
        </w:rPr>
        <w:tab/>
        <w:t>Java, C#, C, PHP, HTML/CSS, SQL, Python</w:t>
      </w:r>
    </w:p>
    <w:p>
      <w:pPr>
        <w:keepNext w:val="0"/>
        <w:spacing w:before="120" w:after="10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t>LANGUES</w:t>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Anglais</w:t>
      </w:r>
      <w:r>
        <w:rPr>
          <w:rFonts w:ascii="Times New Roman" w:hAnsi="Times New Roman" w:eastAsia="Times New Roman"/>
          <w:b w:val="0"/>
          <w:i w:val="0"/>
          <w:color w:val="000000"/>
          <w:sz w:val="19"/>
          <w:u w:val="none"/>
        </w:rPr>
        <w:tab/>
        <w:t>Professionnel (TOEIC 955/990)</w:t>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Français</w:t>
      </w:r>
      <w:r>
        <w:rPr>
          <w:rFonts w:ascii="Times New Roman" w:hAnsi="Times New Roman" w:eastAsia="Times New Roman"/>
          <w:b w:val="0"/>
          <w:i w:val="0"/>
          <w:color w:val="000000"/>
          <w:sz w:val="19"/>
          <w:u w:val="none"/>
        </w:rPr>
        <w:tab/>
        <w:t>Bilingue</w:t>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Chinois</w:t>
      </w:r>
      <w:r>
        <w:rPr>
          <w:rFonts w:ascii="Times New Roman" w:hAnsi="Times New Roman" w:eastAsia="Times New Roman"/>
          <w:b w:val="0"/>
          <w:i w:val="0"/>
          <w:color w:val="000000"/>
          <w:sz w:val="19"/>
          <w:u w:val="none"/>
        </w:rPr>
        <w:tab/>
        <w:t>Langue maternelle</w:t>
      </w:r>
    </w:p>
    <w:p>
      <w:pPr>
        <w:keepNext w:val="0"/>
        <w:spacing w:before="120" w:after="10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3685" w:val="left"/>
        </w:tabs>
        <w:spacing w:before="0" w:after="0" w:line="240" w:lineRule="auto"/>
        <w:ind w:left="3685" w:hanging="3685"/>
      </w:pPr>
      <w:r>
        <w:rPr>
          <w:rFonts w:ascii="Times New Roman" w:hAnsi="Times New Roman" w:eastAsia="Times New Roman"/>
          <w:b w:val="0"/>
          <w:i w:val="0"/>
          <w:color w:val="000000"/>
          <w:sz w:val="19"/>
          <w:u w:val="none"/>
        </w:rPr>
        <w:t>CENTRES D'INTÉRÊT</w:t>
        <w:tab/>
        <w:t>Crossfit, natation, voyages (18 pays), engagement associatif (protection animale)</w:t>
      </w:r>
    </w:p>
    <w:sectPr w:rsidR="00FC693F" w:rsidRPr="0006063C" w:rsidSect="00034616">
      <w:pgSz w:w="11906" w:h="16838"/>
      <w:pgMar w:top="567" w:right="850" w:bottom="39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