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2649"/>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0"/>
          <w:u w:val="none"/>
        </w:rPr>
        <w:t>CHEF DE PROJET SI | TRANSFORMATION DIGITALE | PROJETS APPLICATIFS</w:t>
      </w:r>
    </w:p>
    <w:p>
      <w:pPr>
        <w:keepNext w:val="0"/>
        <w:spacing w:before="120" w:after="20" w:line="240" w:lineRule="auto"/>
        <w:ind w:left="0" w:right="2649"/>
      </w:pPr>
      <w:r>
        <w:rPr>
          <w:rFonts w:ascii="Times New Roman" w:hAnsi="Times New Roman" w:eastAsia="Times New Roman"/>
          <w:b/>
          <w:i w:val="0"/>
          <w:color w:val="000000"/>
          <w:sz w:val="20"/>
          <w:u w:val="none"/>
        </w:rPr>
        <w:t>NICOLAS QI GUO</w:t>
      </w:r>
    </w:p>
    <w:p>
      <w:pPr>
        <w:keepNext w:val="0"/>
        <w:spacing w:before="0" w:after="0" w:line="240" w:lineRule="auto"/>
        <w:ind w:left="0" w:right="2649"/>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2649"/>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2649"/>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au sein de grands groupes (BNP Paribas, La Poste). Pilotage de projets de bout en bout, coordination transverse Métiers–IT, gouvernance et conduite du changement. Double compétence fonctionnelle et technique : développement applicatif (projets académiques en Java, C#, PHP, SQL) et low-code (Power Platform).</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Structuration et coordination des initiatives IA &amp; RPA : </w:t>
      </w:r>
      <w:r>
        <w:rPr>
          <w:rFonts w:ascii="Times New Roman" w:hAnsi="Times New Roman" w:eastAsia="Times New Roman"/>
          <w:b w:val="0"/>
          <w:i w:val="0"/>
          <w:color w:val="000000"/>
          <w:sz w:val="19"/>
          <w:u w:val="none"/>
        </w:rPr>
        <w:t>conception et mise en place d'un dispositif de collecte, de qualification et de priorisation des use cases ; 20+ use cases identifiés, dont 3 retenus et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Pilotage et gouvernance des projets IA : </w:t>
      </w:r>
      <w:r>
        <w:rPr>
          <w:rFonts w:ascii="Times New Roman" w:hAnsi="Times New Roman" w:eastAsia="Times New Roman"/>
          <w:b w:val="0"/>
          <w:i w:val="0"/>
          <w:color w:val="000000"/>
          <w:sz w:val="19"/>
          <w:u w:val="none"/>
        </w:rPr>
        <w:t>recueil et formalisation des besoins, coordination transverse Métiers–IT, conduite de POC, accompagnement du déploiement de 3 solutions IA (GenAI, RAG, Copilot) et reporting auprès des instances de gouvernance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w:t>
      </w:r>
      <w:r>
        <w:rPr>
          <w:rFonts w:ascii="Times New Roman" w:hAnsi="Times New Roman" w:eastAsia="Times New Roman"/>
          <w:b w:val="0"/>
          <w:i w:val="0"/>
          <w:color w:val="000000"/>
          <w:sz w:val="19"/>
          <w:u w:val="none"/>
        </w:rPr>
        <w:t>dans le cadre du déploiement d'un programme IA transverse à grande échelle (5 000+ collaborateurs) : animation d'un réseau de 70+ ambassadeurs IA, sessions d'onboarding et d'acculturation, événements communautaires</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Recueil et analyse des besoins métiers, rédaction des cahiers des charges et spécifications fonctionnelles et techniques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Coordination Métiers–IT pour la coconception des solutions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Développement low-code (Power Apps, Power Automate), recette et mise en production</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Gestion des risques et animation des instances projets (COSUI, COPIL)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Accompagnement du déploiement auprès des fonctions Finance et RH</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quotidien d'une dizaine de robots en production et gestion des incidents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 la performance des solutions déployées (ROI, fiabilité, adoption)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Identification et mise en œuvre d'axes d'amélioration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val="0"/>
        <w:spacing w:before="20" w:after="0" w:line="240" w:lineRule="auto"/>
        <w:ind w:left="1814"/>
      </w:pPr>
      <w:r>
        <w:rPr>
          <w:rFonts w:ascii="Times New Roman" w:hAnsi="Times New Roman" w:eastAsia="Times New Roman"/>
          <w:b w:val="0"/>
          <w:i/>
          <w:color w:val="000000"/>
          <w:sz w:val="18"/>
          <w:u w:val="none"/>
        </w:rPr>
        <w:t>Projets : e-commerce (PHP/HTML/CSS), BDD médicale (PostgreSQL/Oracle), jeux (Java/C#), calcul d'impôt (C)</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Cadrage, recueil des besoins, spécifications, recette, mise en production</w:t>
        <w:br/>
        <w:t>Gouvernance (COPIL / COSUI), gestion des risques – Cycle en V, Agile, hybride</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 Finance, SAP (S/4HANA, ECC), intégration applicative, gouvernance des SI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Outils digitaux :</w:t>
      </w:r>
      <w:r>
        <w:rPr>
          <w:rFonts w:ascii="Times New Roman" w:hAnsi="Times New Roman" w:eastAsia="Times New Roman"/>
          <w:b w:val="0"/>
          <w:i w:val="0"/>
          <w:color w:val="000000"/>
          <w:sz w:val="19"/>
          <w:u w:val="none"/>
        </w:rPr>
        <w:tab/>
        <w:t>Power Apps, Power Automate, Power BI, SharePoint</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Développement :</w:t>
      </w:r>
      <w:r>
        <w:rPr>
          <w:rFonts w:ascii="Times New Roman" w:hAnsi="Times New Roman" w:eastAsia="Times New Roman"/>
          <w:b w:val="0"/>
          <w:i w:val="0"/>
          <w:color w:val="000000"/>
          <w:sz w:val="19"/>
          <w:u w:val="none"/>
        </w:rPr>
        <w:tab/>
        <w:t>Java, C#, C, PHP, HTML/CSS, SQL (PostgreSQL, Oracle) ; Python (notions)</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120" w:after="10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