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2880" w:firstLine="0"/>
        <w:jc w:val="right"/>
        <w:rPr>
          <w:b w:val="1"/>
          <w:color w:val="5f5f5f"/>
          <w:sz w:val="36"/>
          <w:szCs w:val="36"/>
        </w:rPr>
      </w:pPr>
      <w:r w:rsidDel="00000000" w:rsidR="00000000" w:rsidRPr="00000000">
        <w:rPr>
          <w:b w:val="1"/>
          <w:color w:val="5f5f5f"/>
          <w:sz w:val="36"/>
          <w:szCs w:val="36"/>
          <w:rtl w:val="0"/>
        </w:rPr>
        <w:t xml:space="preserve">Épicas</w:t>
      </w:r>
    </w:p>
    <w:p w:rsidR="00000000" w:rsidDel="00000000" w:rsidP="00000000" w:rsidRDefault="00000000" w:rsidRPr="00000000" w14:paraId="0000001E">
      <w:pPr>
        <w:spacing w:line="24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2880" w:firstLine="0"/>
        <w:jc w:val="right"/>
        <w:rPr>
          <w:b w:val="1"/>
          <w:color w:val="5f5f5f"/>
          <w:sz w:val="28"/>
          <w:szCs w:val="28"/>
        </w:rPr>
      </w:pPr>
      <w:r w:rsidDel="00000000" w:rsidR="00000000" w:rsidRPr="00000000">
        <w:rPr>
          <w:b w:val="1"/>
          <w:color w:val="5f5f5f"/>
          <w:sz w:val="28"/>
          <w:szCs w:val="28"/>
          <w:rtl w:val="0"/>
        </w:rPr>
        <w:t xml:space="preserve">Proyecto: Sistema de trueques</w:t>
      </w:r>
    </w:p>
    <w:p w:rsidR="00000000" w:rsidDel="00000000" w:rsidP="00000000" w:rsidRDefault="00000000" w:rsidRPr="00000000" w14:paraId="00000020">
      <w:pPr>
        <w:spacing w:line="240" w:lineRule="auto"/>
        <w:ind w:left="2880" w:firstLine="0"/>
        <w:jc w:val="right"/>
        <w:rPr>
          <w:b w:val="1"/>
          <w:color w:val="5f5f5f"/>
          <w:sz w:val="28"/>
          <w:szCs w:val="28"/>
        </w:rPr>
      </w:pPr>
      <w:r w:rsidDel="00000000" w:rsidR="00000000" w:rsidRPr="00000000">
        <w:rPr>
          <w:b w:val="1"/>
          <w:color w:val="5f5f5f"/>
          <w:sz w:val="28"/>
          <w:szCs w:val="28"/>
          <w:rtl w:val="0"/>
        </w:rPr>
        <w:t xml:space="preserve">Identificación: 56</w:t>
      </w:r>
    </w:p>
    <w:p w:rsidR="00000000" w:rsidDel="00000000" w:rsidP="00000000" w:rsidRDefault="00000000" w:rsidRPr="00000000" w14:paraId="00000021">
      <w:pPr>
        <w:spacing w:line="240" w:lineRule="auto"/>
        <w:ind w:left="2880" w:firstLine="0"/>
        <w:jc w:val="right"/>
        <w:rPr>
          <w:b w:val="1"/>
          <w:color w:val="5f5f5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2880" w:firstLine="0"/>
        <w:jc w:val="right"/>
        <w:rPr>
          <w:b w:val="1"/>
          <w:color w:val="5f5f5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2880" w:firstLine="0"/>
        <w:jc w:val="right"/>
        <w:rPr>
          <w:b w:val="1"/>
          <w:color w:val="5f5f5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2880" w:firstLine="0"/>
        <w:jc w:val="right"/>
        <w:rPr>
          <w:b w:val="1"/>
          <w:color w:val="5f5f5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2880" w:firstLine="0"/>
        <w:jc w:val="right"/>
        <w:rPr>
          <w:b w:val="1"/>
          <w:color w:val="5f5f5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2880" w:firstLine="0"/>
        <w:jc w:val="right"/>
        <w:rPr>
          <w:b w:val="1"/>
          <w:color w:val="5f5f5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2880" w:firstLine="0"/>
        <w:jc w:val="right"/>
        <w:rPr>
          <w:b w:val="1"/>
          <w:color w:val="5f5f5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2880" w:firstLine="0"/>
        <w:jc w:val="right"/>
        <w:rPr>
          <w:rFonts w:ascii="Libre Franklin" w:cs="Libre Franklin" w:eastAsia="Libre Franklin" w:hAnsi="Libre Franklin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2880" w:firstLine="0"/>
        <w:jc w:val="right"/>
        <w:rPr>
          <w:rFonts w:ascii="Libre Franklin" w:cs="Libre Franklin" w:eastAsia="Libre Franklin" w:hAnsi="Libre Franklin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2880" w:firstLine="0"/>
        <w:jc w:val="right"/>
        <w:rPr>
          <w:rFonts w:ascii="Libre Franklin" w:cs="Libre Franklin" w:eastAsia="Libre Franklin" w:hAnsi="Libre Franklin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2880" w:firstLine="0"/>
        <w:jc w:val="right"/>
        <w:rPr>
          <w:rFonts w:ascii="Libre Franklin" w:cs="Libre Franklin" w:eastAsia="Libre Franklin" w:hAnsi="Libre Franklin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2700" w:firstLine="0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0"/>
                <w:szCs w:val="20"/>
              </w:rPr>
              <w:drawing>
                <wp:inline distB="114300" distT="114300" distL="114300" distR="114300">
                  <wp:extent cx="972503" cy="97250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503" cy="9725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Libre Franklin" w:cs="Libre Franklin" w:eastAsia="Libre Franklin" w:hAnsi="Libre Frankli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rFonts w:ascii="Libre Franklin" w:cs="Libre Franklin" w:eastAsia="Libre Franklin" w:hAnsi="Libre Franklin"/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[Oblivion][Marzo 2024]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>
          <w:b w:val="1"/>
          <w:color w:val="5f5f5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2880" w:firstLine="0"/>
        <w:jc w:val="right"/>
        <w:rPr>
          <w:b w:val="1"/>
          <w:color w:val="5f5f5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jc w:val="left"/>
        <w:rPr>
          <w:b w:val="1"/>
          <w:color w:val="5f5f5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2880" w:firstLine="0"/>
        <w:jc w:val="right"/>
        <w:rPr>
          <w:b w:val="1"/>
          <w:color w:val="5f5f5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2880" w:firstLine="0"/>
        <w:jc w:val="right"/>
        <w:rPr>
          <w:b w:val="1"/>
          <w:color w:val="5f5f5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spacing w:after="60" w:before="240"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épica: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Gestión de productos de trueque.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Conjunto de historias de usuario relacionadas con la publicación, modificación y eliminación de productos para ser intercambiados entre los clientes. 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spacing w:after="60" w:before="240"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épica: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Gestión de Cuentas de Usuario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Conjunto de historias de usuario relacionadas con el registro y la administración de las cuentas de usuario en el sistema.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spacing w:after="60" w:before="240"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épica: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Moderación de productos de trueque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 Conjunto de historias de usuario vinculadas con la posibilidad de ocultar publicaciones de productos que resulten inapropiados o fuera de lugar.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spacing w:after="60" w:before="240" w:line="360" w:lineRule="auto"/>
              <w:ind w:left="360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épica: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Gestión de trueque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Conjunto de historias de usuario relacionadas con la administración de trueques. Desde la solicitud de un trueque hasta la confirmación (con o sin venta) o cancelación del mismo.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spacing w:after="60" w:before="240"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épica: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Empleados</w:t>
            </w:r>
          </w:p>
          <w:p w:rsidR="00000000" w:rsidDel="00000000" w:rsidP="00000000" w:rsidRDefault="00000000" w:rsidRPr="00000000" w14:paraId="00000045">
            <w:pPr>
              <w:keepNext w:val="1"/>
              <w:spacing w:after="60" w:before="240"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Conjunto de historias de usuario asociadas al registro de los empleados en el sistema por parte del administrador.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spacing w:after="60" w:before="240"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épica: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Sucursales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Conjunto de historias de usuario asociadas al registro de las sucursales de la cadena en el sistema por parte del administrador.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spacing w:after="60" w:before="240"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épica: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Paquetes de Promoción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Conjunto de historias de usuario vinculadas a la selección por parte de los clientes de paquetes promocionales para destacar determinados productos publicados.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spacing w:after="60" w:before="240"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épica: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Generación de estadísticas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 Conjunto de historias de usuario vinculadas a la generación de reportes de datos estadísticos e información importante para la toma de decisiones del negocio.</w:t>
            </w:r>
          </w:p>
        </w:tc>
      </w:tr>
    </w:tbl>
    <w:p w:rsidR="00000000" w:rsidDel="00000000" w:rsidP="00000000" w:rsidRDefault="00000000" w:rsidRPr="00000000" w14:paraId="0000004C">
      <w:pPr>
        <w:keepNext w:val="1"/>
        <w:spacing w:after="60" w:before="24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