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 xml:space="preserve">A --&gt; </w:t>
      </w:r>
      <w:r>
        <w:rPr>
          <w:rFonts w:eastAsia="Arial" w:cs="Arial" w:ascii="Arial" w:hAnsi="Arial"/>
        </w:rPr>
        <w:t>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  <w:r>
        <w:rPr>
          <w:rFonts w:eastAsia="Arial" w:cs="Arial" w:ascii="Arial" w:hAnsi="Arial"/>
        </w:rPr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/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</w:t>
      </w: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</w:t>
      </w: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²¹=2 097 152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</w:t>
      </w:r>
      <w:r>
        <w:rPr>
          <w:rFonts w:eastAsia="Arial" w:cs="Arial" w:ascii="Arial" w:hAnsi="Arial"/>
        </w:rPr>
        <w:t>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h. Cantos octetos hai en nunha dirección IP? _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i. Cantos bits pode haber por octeto? _</w:t>
      </w:r>
      <w:r>
        <w:rPr>
          <w:rFonts w:eastAsia="Arial" w:cs="Arial" w:ascii="Arial" w:hAnsi="Arial"/>
        </w:rPr>
        <w:t>8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 Determinar, para las seguintes direccións de host IP, cales son as direccións que son válidas para redes comerciais. Válida significa que se pode asignar a una estación de traballo, servidor, impresora, interface de router, etc.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8"/>
        <w:gridCol w:w="3812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 Dada a dirección de rede 192.168.30.0, indica que máscara de subrede deberías escoller para ter 4 subredes. Enche a continuación a seguinte táboa. 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5. Dada a dirección de rede 192.168.55.0, indica que máscara de subrede deberías escoller para ter 8 subredes. Enche a continuación a seguinte táboa. 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186"/>
        <w:gridCol w:w="1649"/>
        <w:gridCol w:w="1607"/>
        <w:gridCol w:w="1607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IP do Equipo /host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Clase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rede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de host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216.14.55.137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123.1.1.15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150.127.221.224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194.125.35.199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175.12.239.244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0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3</Pages>
  <Words>418</Words>
  <Characters>2352</Characters>
  <CharactersWithSpaces>2720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2023-01-12T10:31:08Z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