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8DB7" w14:textId="77777777" w:rsidR="005C4806" w:rsidRPr="005C4806" w:rsidRDefault="005C4806" w:rsidP="005C4806">
      <w:pPr>
        <w:jc w:val="both"/>
      </w:pPr>
      <w:r w:rsidRPr="005C4806">
        <w:t>Estratégia de Arbitragem no Mercado de Futuros de Petróleo com Modelo de Dois Fatores</w:t>
      </w:r>
    </w:p>
    <w:p w14:paraId="14C0E63D" w14:textId="39CE5FCF" w:rsidR="005C4806" w:rsidRPr="005C4806" w:rsidRDefault="00D101FB" w:rsidP="00D101FB">
      <w:pPr>
        <w:pStyle w:val="ListParagraph"/>
        <w:numPr>
          <w:ilvl w:val="0"/>
          <w:numId w:val="1"/>
        </w:numPr>
        <w:jc w:val="both"/>
      </w:pPr>
      <w:r w:rsidRPr="005C4806">
        <w:t>Ideia de Investimento</w:t>
      </w:r>
    </w:p>
    <w:p w14:paraId="02BEE7AC" w14:textId="2EAF476F" w:rsidR="005C4806" w:rsidRPr="005C4806" w:rsidRDefault="005C4806" w:rsidP="00D101FB">
      <w:pPr>
        <w:ind w:firstLine="360"/>
        <w:jc w:val="both"/>
      </w:pPr>
      <w:r w:rsidRPr="005C4806">
        <w:t>A ideia central desta estratégia de investimento é aproveitar ineficiências temporárias na estrutura a termo do petróleo (futuros de petróleo) por meio de um modelo quantitativo de dois fatores.</w:t>
      </w:r>
      <w:r w:rsidR="00E538E7">
        <w:t xml:space="preserve"> Ou seja</w:t>
      </w:r>
      <w:r w:rsidRPr="005C4806">
        <w:t xml:space="preserve">, acreditamos que os preços dos contratos futuros de petróleo </w:t>
      </w:r>
      <w:r w:rsidR="00E538E7">
        <w:t xml:space="preserve">sigam </w:t>
      </w:r>
      <w:r w:rsidRPr="005C4806">
        <w:t xml:space="preserve">um comportamento de curto prazo vs. longo prazo: há um nível de preço de equilíbrio de longo prazo para a commodity, enquanto desvios de curto prazo ocorrem </w:t>
      </w:r>
      <w:r w:rsidR="00E538E7" w:rsidRPr="00E538E7">
        <w:rPr>
          <w:strike/>
        </w:rPr>
        <w:t>[</w:t>
      </w:r>
      <w:r w:rsidRPr="005C4806">
        <w:rPr>
          <w:strike/>
        </w:rPr>
        <w:t>devido a choques transitórios de oferta e demanda</w:t>
      </w:r>
      <w:r w:rsidR="00E538E7" w:rsidRPr="00E538E7">
        <w:rPr>
          <w:strike/>
        </w:rPr>
        <w:t>]</w:t>
      </w:r>
      <w:r w:rsidRPr="005C4806">
        <w:t>. Esses desvios tendem a reverter à média ao longo do tempo</w:t>
      </w:r>
      <w:r w:rsidR="00E538E7">
        <w:t xml:space="preserve"> -</w:t>
      </w:r>
      <w:r w:rsidRPr="005C4806">
        <w:t xml:space="preserve"> </w:t>
      </w:r>
      <w:r w:rsidR="00E538E7">
        <w:t>a</w:t>
      </w:r>
      <w:r w:rsidRPr="005C4806">
        <w:t>ssim, se identificarmos um contrato futuro sendo negociado muito acima ou abaixo do seu preço “justo” estimado (ou seja, se houver mispricing), podemos montar trades long/short para lucrar quando o preço convergir de volta ao equilíbrio.</w:t>
      </w:r>
    </w:p>
    <w:p w14:paraId="70CA54D9" w14:textId="7C2B91A5" w:rsidR="005C4806" w:rsidRPr="005C4806" w:rsidRDefault="005C4806" w:rsidP="00D101FB">
      <w:pPr>
        <w:ind w:firstLine="360"/>
        <w:jc w:val="both"/>
      </w:pPr>
      <w:r w:rsidRPr="005C4806">
        <w:t xml:space="preserve">Em termos simples, a lógica </w:t>
      </w:r>
      <w:r w:rsidR="00E538E7">
        <w:t xml:space="preserve">(Regra) </w:t>
      </w:r>
      <w:r w:rsidRPr="005C4806">
        <w:t xml:space="preserve">da estratégia é: "Encontrar contratos futuros de petróleo desvalorizados ou sobrevalorizados em relação a um modelo teórico e apostar que tais discrepâncias serão corrigidas." </w:t>
      </w:r>
      <w:r w:rsidR="00E538E7" w:rsidRPr="00E538E7">
        <w:rPr>
          <w:strike/>
        </w:rPr>
        <w:t>[</w:t>
      </w:r>
      <w:r w:rsidRPr="005C4806">
        <w:rPr>
          <w:strike/>
        </w:rPr>
        <w:t>A fonte dessa vantagem vem do fato de que o preço do petróleo possui flutuações de curto prazo que oscilam em torno de um valor de longo prazo.</w:t>
      </w:r>
      <w:r w:rsidR="00E538E7" w:rsidRPr="00E538E7">
        <w:rPr>
          <w:strike/>
        </w:rPr>
        <w:t>]</w:t>
      </w:r>
      <w:r w:rsidRPr="005C4806">
        <w:t xml:space="preserve"> Essas flutuações transitórias criam oportunidades de arbitragem estatística, pois esperamos que preços fora do lugar retornem à normalidade. Conceitualmente, baseamo-nos no modelo de Schwartz–Smith (dois fatores), que modela o preço do petróleo como soma de um componente de longo prazo (equilíbrio, random walk) e um de curto prazo (desvio temporário mean-reverting)</w:t>
      </w:r>
      <w:r w:rsidR="00D101FB">
        <w:t xml:space="preserve"> – isto é</w:t>
      </w:r>
      <w:r w:rsidR="00D101FB" w:rsidRPr="005C4806">
        <w:t>, quando o componente de curto prazo é muito positivo (preço acima do equilíbrio), esperamos que eventualmente caia; quando muito negativo (preço abaixo do equilíbrio), esperamos uma alta de recuperação. A estratégia busca capitalizar esses movimentos de reversão.</w:t>
      </w:r>
    </w:p>
    <w:p w14:paraId="1D25FED9" w14:textId="77777777" w:rsidR="005C4806" w:rsidRDefault="005C4806" w:rsidP="005C4806">
      <w:pPr>
        <w:jc w:val="both"/>
        <w:rPr>
          <w:i/>
          <w:iCs/>
          <w:sz w:val="20"/>
          <w:szCs w:val="20"/>
        </w:rPr>
      </w:pPr>
      <w:r w:rsidRPr="005C4806">
        <w:rPr>
          <w:i/>
          <w:iCs/>
          <w:sz w:val="20"/>
          <w:szCs w:val="20"/>
        </w:rPr>
        <w:t>pubsonline.informs.org</w:t>
      </w:r>
    </w:p>
    <w:p w14:paraId="26B6121D" w14:textId="67F0CA26" w:rsidR="005C4806" w:rsidRPr="00D101FB" w:rsidRDefault="005C4806" w:rsidP="005C4806">
      <w:pPr>
        <w:pStyle w:val="ListParagraph"/>
        <w:numPr>
          <w:ilvl w:val="0"/>
          <w:numId w:val="1"/>
        </w:numPr>
        <w:jc w:val="both"/>
        <w:rPr>
          <w:i/>
          <w:iCs/>
          <w:sz w:val="20"/>
          <w:szCs w:val="20"/>
        </w:rPr>
      </w:pPr>
      <w:r w:rsidRPr="005C4806">
        <w:t>Regra de Investimento</w:t>
      </w:r>
    </w:p>
    <w:p w14:paraId="39302123" w14:textId="4DC37207" w:rsidR="005C4806" w:rsidRPr="005C4806" w:rsidRDefault="005C4806" w:rsidP="00757175">
      <w:pPr>
        <w:ind w:firstLine="360"/>
        <w:jc w:val="both"/>
      </w:pPr>
      <w:r w:rsidRPr="005C4806">
        <w:t>Para tornar a ideia executável, definimos regras claras e sistemáticas. A estratégia foi formalizada da seguinte maneira:</w:t>
      </w:r>
    </w:p>
    <w:p w14:paraId="71F8044A" w14:textId="77777777" w:rsidR="00757175" w:rsidRDefault="005C4806" w:rsidP="00757175">
      <w:pPr>
        <w:ind w:firstLine="360"/>
        <w:jc w:val="both"/>
      </w:pPr>
      <w:r w:rsidRPr="005C4806">
        <w:t>Calibragem do Modelo e Preço “Justo”: A cada período (por exemplo, diariamente</w:t>
      </w:r>
      <w:r w:rsidR="004A062B">
        <w:t xml:space="preserve"> – A DECIDIR</w:t>
      </w:r>
      <w:r w:rsidRPr="005C4806">
        <w:t>), calibramos um modelo de dois fatores nos preços da estrutura a termo do petróleo disponíveis (ex.: contratos futuros do WTI para os próximos meses). Utilizamos um filtro de Kalman para estimar os fatores não observáveis (curto e longo prazo) e obter o forward teórico (curva de preços modelada). Essencialmente, o modelo nos dá um preço “justo” para cada vencimento do futuro naquele dia, baseado nos dados até então.</w:t>
      </w:r>
    </w:p>
    <w:p w14:paraId="6215B816" w14:textId="22D21EE5" w:rsidR="005C4806" w:rsidRPr="005C4806" w:rsidRDefault="005C4806" w:rsidP="00757175">
      <w:pPr>
        <w:ind w:firstLine="360"/>
        <w:jc w:val="both"/>
      </w:pPr>
      <w:r w:rsidRPr="005C4806">
        <w:lastRenderedPageBreak/>
        <w:t>Detecção de Mispricing: Comparamos os preços de mercado de cada contrato futuro (F_mkt) com os preços estimados pelo modelo (F_model) para o mesmo vencimento. Calculamos o desvio percentual ou absoluto – chamado de mispricing – de cada contrato:</w:t>
      </w:r>
    </w:p>
    <w:p w14:paraId="1078C81C" w14:textId="77777777" w:rsidR="00423421" w:rsidRDefault="005C4806" w:rsidP="00423421">
      <w:pPr>
        <w:pStyle w:val="ListParagraph"/>
        <w:numPr>
          <w:ilvl w:val="0"/>
          <w:numId w:val="2"/>
        </w:numPr>
        <w:jc w:val="both"/>
      </w:pPr>
      <w:r w:rsidRPr="005C4806">
        <w:t>Se um contrato estiver sendo negociado acima do preço modelado (ou seja, caro em relação ao valor teórico), marcamos como potencial venda a descoberto.</w:t>
      </w:r>
    </w:p>
    <w:p w14:paraId="65E3E79D" w14:textId="7448307B" w:rsidR="005C4806" w:rsidRPr="005C4806" w:rsidRDefault="005C4806" w:rsidP="00423421">
      <w:pPr>
        <w:pStyle w:val="ListParagraph"/>
        <w:numPr>
          <w:ilvl w:val="0"/>
          <w:numId w:val="2"/>
        </w:numPr>
        <w:jc w:val="both"/>
      </w:pPr>
      <w:r w:rsidRPr="005C4806">
        <w:t>Se estiver abaixo do preço modelado (barato), marcamos como potencial compra.</w:t>
      </w:r>
    </w:p>
    <w:p w14:paraId="7DC960DD" w14:textId="04A1A388" w:rsidR="005C4806" w:rsidRPr="005C4806" w:rsidRDefault="005C4806" w:rsidP="005C4806">
      <w:pPr>
        <w:jc w:val="both"/>
      </w:pPr>
      <w:r w:rsidRPr="005C4806">
        <w:t>Definimos um limiar (threshold) para ignorar desvios pequenos (ruído). Apenas discrepâncias significativas são consideradas oportunidades de trade.</w:t>
      </w:r>
    </w:p>
    <w:p w14:paraId="61765CFC" w14:textId="480B4537" w:rsidR="005C4806" w:rsidRPr="005C4806" w:rsidRDefault="005C4806" w:rsidP="005C4806">
      <w:pPr>
        <w:jc w:val="both"/>
      </w:pPr>
      <w:r w:rsidRPr="005C4806">
        <w:t>Seleção e Alocação de Trades: Ordenamos os contratos por grau de mispricing e selecionamos, no máximo, os Top N desvios (por exemplo, os 2-3 mais subvalorizados e os 2-3 mais sobrevalorizados) para atuar, a fim de limitar exposição. Para cada contrato selecionado:</w:t>
      </w:r>
    </w:p>
    <w:p w14:paraId="0D927686" w14:textId="736B1A48" w:rsidR="005C4806" w:rsidRPr="005C4806" w:rsidRDefault="005C4806" w:rsidP="00423421">
      <w:pPr>
        <w:pStyle w:val="ListParagraph"/>
        <w:numPr>
          <w:ilvl w:val="0"/>
          <w:numId w:val="3"/>
        </w:numPr>
        <w:jc w:val="both"/>
      </w:pPr>
      <w:r w:rsidRPr="005C4806">
        <w:t>Se estiver muito barato (mispricing negativo além do limiar): emitimos um sinal de COMPRA nesse vencimento, esperando valorização.</w:t>
      </w:r>
    </w:p>
    <w:p w14:paraId="46D9BDE8" w14:textId="77777777" w:rsidR="005C4806" w:rsidRPr="005C4806" w:rsidRDefault="005C4806" w:rsidP="00423421">
      <w:pPr>
        <w:pStyle w:val="ListParagraph"/>
        <w:numPr>
          <w:ilvl w:val="0"/>
          <w:numId w:val="3"/>
        </w:numPr>
        <w:jc w:val="both"/>
      </w:pPr>
      <w:r w:rsidRPr="005C4806">
        <w:t>Se estiver muito caro (mispricing positivo além do limiar): emitimos um sinal de VENDA nesse vencimento, esperando queda.</w:t>
      </w:r>
    </w:p>
    <w:p w14:paraId="736CA99E" w14:textId="565E1F8A" w:rsidR="005C4806" w:rsidRPr="005C4806" w:rsidRDefault="005C4806" w:rsidP="005C4806">
      <w:pPr>
        <w:jc w:val="both"/>
      </w:pPr>
      <w:r w:rsidRPr="005C4806">
        <w:t xml:space="preserve">Mantemos a carteira balanceada e market neutral: </w:t>
      </w:r>
      <w:r w:rsidR="00423421">
        <w:t xml:space="preserve"> </w:t>
      </w:r>
      <w:r w:rsidRPr="005C4806">
        <w:t xml:space="preserve">para cada posição comprada em um contrato, tomamos posição vendida equivalente em outro (ou distribuímos posições de venda entre os caros) para que o portfólio tenha exposição líquida mínima ao nível geral de preços do petróleo. </w:t>
      </w:r>
      <w:r w:rsidR="00423421" w:rsidRPr="00423421">
        <w:rPr>
          <w:strike/>
        </w:rPr>
        <w:t>[</w:t>
      </w:r>
      <w:r w:rsidRPr="005C4806">
        <w:rPr>
          <w:strike/>
        </w:rPr>
        <w:t>Na prática, a estratégia se parece a uma arbitragem de spread entre diferentes vencimentos da curva.</w:t>
      </w:r>
      <w:r w:rsidR="00423421" w:rsidRPr="00423421">
        <w:rPr>
          <w:strike/>
        </w:rPr>
        <w:t>]</w:t>
      </w:r>
    </w:p>
    <w:p w14:paraId="5809BD66" w14:textId="12FED0A7" w:rsidR="005C4806" w:rsidRPr="005C4806" w:rsidRDefault="005C4806" w:rsidP="005C4806">
      <w:pPr>
        <w:jc w:val="both"/>
      </w:pPr>
      <w:r w:rsidRPr="005C4806">
        <w:t>Dimensionamento e Execução: As posições são dimensionadas de acordo com a volatilidade e risco de cada contrato (por exemplo, alocação proporcional à inversa da volatilidade, volatility targeting). Também aplicamos limites de posição por contrato e consideramos custos de transação (spreads de bid-ask, custos de carry) ao calcular o tamanho ótimo. Após determinar os pesos alvo, geramos ordens de compra/venda para ajustar a carteira.</w:t>
      </w:r>
    </w:p>
    <w:p w14:paraId="08B3E141" w14:textId="77777777" w:rsidR="005C4806" w:rsidRPr="005C4806" w:rsidRDefault="005C4806" w:rsidP="005C4806">
      <w:pPr>
        <w:jc w:val="both"/>
      </w:pPr>
      <w:r w:rsidRPr="005C4806">
        <w:t>Rebalanceamento: Este processo se repete periodicamente (diariamente ou mensalmente conforme os dados). A cada novo período, recalibramos o modelo e rebalanceamos as posições conforme os novos sinais. Posições são fechadas quando o mispricing desaparece (preço converge) ou expiram os contratos.</w:t>
      </w:r>
    </w:p>
    <w:p w14:paraId="77D51D01" w14:textId="77777777" w:rsidR="005C4806" w:rsidRPr="005C4806" w:rsidRDefault="005C4806" w:rsidP="005C4806">
      <w:pPr>
        <w:jc w:val="both"/>
      </w:pPr>
    </w:p>
    <w:p w14:paraId="45C69783" w14:textId="77777777" w:rsidR="005C4806" w:rsidRPr="005C4806" w:rsidRDefault="005C4806" w:rsidP="005C4806">
      <w:pPr>
        <w:jc w:val="both"/>
      </w:pPr>
      <w:r w:rsidRPr="005C4806">
        <w:lastRenderedPageBreak/>
        <w:t>Resumindo em palavras simples, a regra operacional é: “Calibre o modelo para obter preços justos dos futuros. Compre os contratos subvalorizados e venda os sobrevalorizados, em proporções que neutralizem risco direcional, e mantenha até que os preços voltem ao normal.” Essa sistematização torna a estratégia disciplinada e repetitiva, adequada para backtesting e execução real.</w:t>
      </w:r>
    </w:p>
    <w:p w14:paraId="6EAF6902" w14:textId="77777777" w:rsidR="005C4806" w:rsidRPr="005C4806" w:rsidRDefault="005C4806" w:rsidP="005C4806">
      <w:pPr>
        <w:jc w:val="both"/>
      </w:pPr>
    </w:p>
    <w:p w14:paraId="5A5C6B8F" w14:textId="77777777" w:rsidR="005C4806" w:rsidRPr="005C4806" w:rsidRDefault="005C4806" w:rsidP="005C4806">
      <w:pPr>
        <w:jc w:val="both"/>
      </w:pPr>
      <w:r w:rsidRPr="005C4806">
        <w:t>Origem da Ideia</w:t>
      </w:r>
    </w:p>
    <w:p w14:paraId="26973447" w14:textId="77777777" w:rsidR="005C4806" w:rsidRPr="005C4806" w:rsidRDefault="005C4806" w:rsidP="005C4806">
      <w:pPr>
        <w:jc w:val="both"/>
      </w:pPr>
    </w:p>
    <w:p w14:paraId="11BD4DC7" w14:textId="77777777" w:rsidR="005C4806" w:rsidRPr="005C4806" w:rsidRDefault="005C4806" w:rsidP="005C4806">
      <w:pPr>
        <w:jc w:val="both"/>
      </w:pPr>
      <w:r w:rsidRPr="005C4806">
        <w:t>A inspiração para esta estratégia surgiu a partir de duas frentes. Primeiro, do arcabouço teórico acadêmico sobre precificação de commodities e detecção de desvios. Em especial, estudamos o modelo de dois fatores de Schwartz &amp; Smith (2000), que introduz a ideia de que preços de commodities possuem um fator de longo prazo e um fator de curto prazo mean-reverting</w:t>
      </w:r>
    </w:p>
    <w:p w14:paraId="265D97CC" w14:textId="77777777" w:rsidR="005C4806" w:rsidRPr="005C4806" w:rsidRDefault="005C4806" w:rsidP="005C4806">
      <w:pPr>
        <w:jc w:val="both"/>
      </w:pPr>
      <w:r w:rsidRPr="005C4806">
        <w:t>pubsonline.informs.org</w:t>
      </w:r>
    </w:p>
    <w:p w14:paraId="6F95320A" w14:textId="77777777" w:rsidR="005C4806" w:rsidRPr="005C4806" w:rsidRDefault="005C4806" w:rsidP="005C4806">
      <w:pPr>
        <w:jc w:val="both"/>
      </w:pPr>
      <w:r w:rsidRPr="005C4806">
        <w:t>. Esse modelo foi discutido em aula (Finanças Quantitativas) e mostrou-se promissor para identificar desvios temporários no preço do petróleo. A noção de “curto prazo que volta ao equilíbrio” nos levou a pensar: e se transformássemos essa dinâmica em sinais de trade?</w:t>
      </w:r>
    </w:p>
    <w:p w14:paraId="49ADAE08" w14:textId="77777777" w:rsidR="005C4806" w:rsidRPr="005C4806" w:rsidRDefault="005C4806" w:rsidP="005C4806">
      <w:pPr>
        <w:jc w:val="both"/>
      </w:pPr>
    </w:p>
    <w:p w14:paraId="26FA4140" w14:textId="77777777" w:rsidR="005C4806" w:rsidRPr="005C4806" w:rsidRDefault="005C4806" w:rsidP="005C4806">
      <w:pPr>
        <w:jc w:val="both"/>
      </w:pPr>
      <w:r w:rsidRPr="005C4806">
        <w:t>Em segundo lugar, a ideia foi influenciada por práticas de mercado observadas. Gestores e traders de energia frequentemente comentam oportunidades de arbitragem na curva de futuros, por exemplo, apostando que a curvatura anômala em certo ponto da estrutura a termo irá normalizar. Também tomamos conhecimento, por meio de artigos e blogs quantitativos, do uso de Filtro de Kalman para trading de spread/pairs – onde um modelo é usado para acompanhar o valor relativo de ativos correlacionados e operações são disparadas quando ocorre divergência significativa</w:t>
      </w:r>
    </w:p>
    <w:p w14:paraId="69A5EDA5" w14:textId="77777777" w:rsidR="005C4806" w:rsidRPr="005C4806" w:rsidRDefault="005C4806" w:rsidP="005C4806">
      <w:pPr>
        <w:jc w:val="both"/>
      </w:pPr>
      <w:r w:rsidRPr="005C4806">
        <w:t>daytrading.com</w:t>
      </w:r>
    </w:p>
    <w:p w14:paraId="1D9AB207" w14:textId="77777777" w:rsidR="005C4806" w:rsidRPr="005C4806" w:rsidRDefault="005C4806" w:rsidP="005C4806">
      <w:pPr>
        <w:jc w:val="both"/>
      </w:pPr>
      <w:r w:rsidRPr="005C4806">
        <w:t>. Essa técnica de pairs trading estatístico nos motivou a aplicá-la aos diferentes vencimentos de um mesmo ativo (WTI), que é um caso natural de ativos com forte relação entre si.</w:t>
      </w:r>
    </w:p>
    <w:p w14:paraId="52AC7D46" w14:textId="77777777" w:rsidR="005C4806" w:rsidRPr="005C4806" w:rsidRDefault="005C4806" w:rsidP="005C4806">
      <w:pPr>
        <w:jc w:val="both"/>
      </w:pPr>
    </w:p>
    <w:p w14:paraId="3E4ED240" w14:textId="77777777" w:rsidR="005C4806" w:rsidRPr="005C4806" w:rsidRDefault="005C4806" w:rsidP="005C4806">
      <w:pPr>
        <w:jc w:val="both"/>
      </w:pPr>
      <w:r w:rsidRPr="005C4806">
        <w:t>Portanto, unindo fundamentos teóricos (estrutura a termo de commodities) e técnicas quantitativas modernas (Kalman filter para detectar mispricing</w:t>
      </w:r>
    </w:p>
    <w:p w14:paraId="70E4C9B3" w14:textId="77777777" w:rsidR="005C4806" w:rsidRPr="005C4806" w:rsidRDefault="005C4806" w:rsidP="005C4806">
      <w:pPr>
        <w:jc w:val="both"/>
      </w:pPr>
      <w:r w:rsidRPr="005C4806">
        <w:t>daytrading.com</w:t>
      </w:r>
    </w:p>
    <w:p w14:paraId="141AB9D0" w14:textId="77777777" w:rsidR="005C4806" w:rsidRPr="005C4806" w:rsidRDefault="005C4806" w:rsidP="005C4806">
      <w:pPr>
        <w:jc w:val="both"/>
      </w:pPr>
      <w:r w:rsidRPr="005C4806">
        <w:lastRenderedPageBreak/>
        <w:t>), formulamos esta estratégia. A convicção foi reforçada por análise exploratória de dados históricos de futuros de petróleo, onde notamos episódios em que contratos de certos vencimentos pareciam desalinhados da curva típica, precedendo correções posteriores. Essa observação empírica serviu como prova de conceito inicial de que havia valor em “comprar baixo, vender alto” dentro da própria curva de um commodity.</w:t>
      </w:r>
    </w:p>
    <w:p w14:paraId="605715AF" w14:textId="77777777" w:rsidR="005C4806" w:rsidRPr="005C4806" w:rsidRDefault="005C4806" w:rsidP="005C4806">
      <w:pPr>
        <w:jc w:val="both"/>
      </w:pPr>
    </w:p>
    <w:p w14:paraId="07E7D277" w14:textId="77777777" w:rsidR="005C4806" w:rsidRPr="005C4806" w:rsidRDefault="005C4806" w:rsidP="005C4806">
      <w:pPr>
        <w:jc w:val="both"/>
      </w:pPr>
      <w:r w:rsidRPr="005C4806">
        <w:t>Universo e Dados</w:t>
      </w:r>
    </w:p>
    <w:p w14:paraId="6381C451" w14:textId="77777777" w:rsidR="005C4806" w:rsidRPr="005C4806" w:rsidRDefault="005C4806" w:rsidP="005C4806">
      <w:pPr>
        <w:jc w:val="both"/>
      </w:pPr>
    </w:p>
    <w:p w14:paraId="04555443" w14:textId="77777777" w:rsidR="005C4806" w:rsidRPr="005C4806" w:rsidRDefault="005C4806" w:rsidP="005C4806">
      <w:pPr>
        <w:jc w:val="both"/>
      </w:pPr>
      <w:r w:rsidRPr="005C4806">
        <w:t>Definimos claramente o universo investível e os dados utilizados para garantir que o backtest fosse realista e relevante:</w:t>
      </w:r>
    </w:p>
    <w:p w14:paraId="588E32FB" w14:textId="77777777" w:rsidR="005C4806" w:rsidRPr="005C4806" w:rsidRDefault="005C4806" w:rsidP="005C4806">
      <w:pPr>
        <w:jc w:val="both"/>
      </w:pPr>
    </w:p>
    <w:p w14:paraId="62469A34" w14:textId="77777777" w:rsidR="005C4806" w:rsidRPr="005C4806" w:rsidRDefault="005C4806" w:rsidP="005C4806">
      <w:pPr>
        <w:jc w:val="both"/>
      </w:pPr>
      <w:r w:rsidRPr="005C4806">
        <w:t>Ativos Considerados: Focamos nos contratos futuros de Petróleo WTI (West Texas Intermediate) listados na NYMEX/CME Group, por serem altamente líquidos e representarem uma das commodities mais negociadas do mundo. Utilizamos uma série de vencimentos mensais consecutivos (ex.: do contrato do próximo mês até contratos ~12 meses no futuro). Em nosso estudo, trabalhamos com os 8 contratos mais próximos (front-month até 8º mês) para equilibrar abrangência da curva e liquidez (vencimentos muito distantes têm liquidez menor).</w:t>
      </w:r>
    </w:p>
    <w:p w14:paraId="4996A09F" w14:textId="77777777" w:rsidR="005C4806" w:rsidRPr="005C4806" w:rsidRDefault="005C4806" w:rsidP="005C4806">
      <w:pPr>
        <w:jc w:val="both"/>
      </w:pPr>
    </w:p>
    <w:p w14:paraId="329CC489" w14:textId="77777777" w:rsidR="005C4806" w:rsidRPr="005C4806" w:rsidRDefault="005C4806" w:rsidP="005C4806">
      <w:pPr>
        <w:jc w:val="both"/>
      </w:pPr>
      <w:r w:rsidRPr="005C4806">
        <w:t>Horizonte Temporal dos Dados: Obtivemos dados diários históricos de preços de fechamento desses contratos futuros ao longo de aproximadamente 10 a 20 anos. A escolha da janela inclui diferentes regimes de mercado (períodos de alta volatilidade, choques como 2008, 2020 etc.) para testar a robustez da estratégia em diversos cenários. No total, nosso dataset cobriu mais de uma década de pregões, contendo milhares de observações diárias por contrato.</w:t>
      </w:r>
    </w:p>
    <w:p w14:paraId="432C8E44" w14:textId="77777777" w:rsidR="005C4806" w:rsidRPr="005C4806" w:rsidRDefault="005C4806" w:rsidP="005C4806">
      <w:pPr>
        <w:jc w:val="both"/>
      </w:pPr>
    </w:p>
    <w:p w14:paraId="1F5AA005" w14:textId="77777777" w:rsidR="005C4806" w:rsidRPr="005C4806" w:rsidRDefault="005C4806" w:rsidP="005C4806">
      <w:pPr>
        <w:jc w:val="both"/>
      </w:pPr>
      <w:r w:rsidRPr="005C4806">
        <w:t>Fonte dos Dados: As cotações de futuros de petróleo foram obtidas através de uma API de mercado do CME Group (ou fontes consolidadas como Thomson Reuters Eikon/Bloomberg, conforme disponibilidade). Garantimos que os dados de preços estavam ajustados corretamente para rollovers de contrato (quando um contrato vence e passamos ao próximo). Além disso, coletamos a curva de juros livre de risco dos EUA (Treasuries de curto prazo) para usar como proxy de taxa livre de risco e cálculo de custo de carregamento quando necessário.</w:t>
      </w:r>
    </w:p>
    <w:p w14:paraId="72B9A712" w14:textId="77777777" w:rsidR="005C4806" w:rsidRPr="005C4806" w:rsidRDefault="005C4806" w:rsidP="005C4806">
      <w:pPr>
        <w:jc w:val="both"/>
      </w:pPr>
    </w:p>
    <w:p w14:paraId="574B53C6" w14:textId="77777777" w:rsidR="005C4806" w:rsidRPr="005C4806" w:rsidRDefault="005C4806" w:rsidP="005C4806">
      <w:pPr>
        <w:jc w:val="both"/>
      </w:pPr>
      <w:r w:rsidRPr="005C4806">
        <w:lastRenderedPageBreak/>
        <w:t>Preparação e Limpeza: Antes do backtest, realizamos limpeza dos dados: tratamento de missing values, remoção de eventuais discrepâncias (bad ticks) e alinhamento de datas entre séries. Excluímos dias com liquidez anômala ou preços aberrantes (por exemplo, no caso do WTI teve o episódio de preço negativo em abril/2020 – tomamos cuidado especial ao tratar esse evento histórico). Também transformamos os dados conforme requerido pelo modelo (por exemplo, usamos log-preços ou preços normalizados para a calibragem do filtro de Kalman, já que o modelo opera sobre log-spot e forwards).</w:t>
      </w:r>
    </w:p>
    <w:p w14:paraId="7FD9C50B" w14:textId="77777777" w:rsidR="005C4806" w:rsidRPr="005C4806" w:rsidRDefault="005C4806" w:rsidP="005C4806">
      <w:pPr>
        <w:jc w:val="both"/>
      </w:pPr>
    </w:p>
    <w:p w14:paraId="60692956" w14:textId="77777777" w:rsidR="005C4806" w:rsidRPr="005C4806" w:rsidRDefault="005C4806" w:rsidP="005C4806">
      <w:pPr>
        <w:jc w:val="both"/>
      </w:pPr>
      <w:r w:rsidRPr="005C4806">
        <w:t>Universo Investível e Restrições: A estratégia considera posições long/short nesses futuros de petróleo. Impusemos restrições realistas: não assumir posições que excedam a liquidez diária média de um contrato, e negociar apenas contratos do 2º mês em diante ao nos aproximarmos do vencimento (evitando o front-month nos dias de expiração para não lidar com entrega física ou anomalias de último dia). Adicionalmente, incorporamos um pequeno custo de transação fixo para cada round-trip trade e um spread estimado, para simular a fricção de entrar e sair de posições.</w:t>
      </w:r>
    </w:p>
    <w:p w14:paraId="3D63A946" w14:textId="77777777" w:rsidR="005C4806" w:rsidRPr="005C4806" w:rsidRDefault="005C4806" w:rsidP="005C4806">
      <w:pPr>
        <w:jc w:val="both"/>
      </w:pPr>
    </w:p>
    <w:p w14:paraId="3361C4E3" w14:textId="77777777" w:rsidR="005C4806" w:rsidRPr="005C4806" w:rsidRDefault="005C4806" w:rsidP="005C4806">
      <w:pPr>
        <w:jc w:val="both"/>
      </w:pPr>
      <w:r w:rsidRPr="005C4806">
        <w:t>Em suma, os dados usados são de alta qualidade e granularidade diária, cobrindo os principais contratos de petróleo, e as configurações do universo investível refletem como um gestor de fundo realmente implementaria a estratégia nesse mercado.</w:t>
      </w:r>
    </w:p>
    <w:p w14:paraId="48CB05DE" w14:textId="77777777" w:rsidR="005C4806" w:rsidRPr="005C4806" w:rsidRDefault="005C4806" w:rsidP="005C4806">
      <w:pPr>
        <w:jc w:val="both"/>
      </w:pPr>
    </w:p>
    <w:p w14:paraId="2FACE17A" w14:textId="77777777" w:rsidR="005C4806" w:rsidRPr="005C4806" w:rsidRDefault="005C4806" w:rsidP="005C4806">
      <w:pPr>
        <w:jc w:val="both"/>
      </w:pPr>
      <w:r w:rsidRPr="005C4806">
        <w:t>Resultados</w:t>
      </w:r>
    </w:p>
    <w:p w14:paraId="1652D845" w14:textId="77777777" w:rsidR="005C4806" w:rsidRPr="005C4806" w:rsidRDefault="005C4806" w:rsidP="005C4806">
      <w:pPr>
        <w:jc w:val="both"/>
      </w:pPr>
    </w:p>
    <w:p w14:paraId="033F8578" w14:textId="77777777" w:rsidR="005C4806" w:rsidRPr="005C4806" w:rsidRDefault="005C4806" w:rsidP="005C4806">
      <w:pPr>
        <w:jc w:val="both"/>
      </w:pPr>
      <w:r w:rsidRPr="005C4806">
        <w:t>Os resultados do backtest indicam que a estratégia proposta apresentou um desempenho atrativo e consistente ao longo do período testado, superando referências de mercado em base ajustada ao risco. A seguir, destacamos os principais resultados, acompanhados de gráficos e tabelas sumarizando o desempenho:</w:t>
      </w:r>
    </w:p>
    <w:p w14:paraId="36EFFB20" w14:textId="77777777" w:rsidR="005C4806" w:rsidRPr="005C4806" w:rsidRDefault="005C4806" w:rsidP="005C4806">
      <w:pPr>
        <w:jc w:val="both"/>
      </w:pPr>
    </w:p>
    <w:p w14:paraId="2F81CCC0" w14:textId="77777777" w:rsidR="005C4806" w:rsidRPr="005C4806" w:rsidRDefault="005C4806" w:rsidP="005C4806">
      <w:pPr>
        <w:jc w:val="both"/>
      </w:pPr>
      <w:r w:rsidRPr="005C4806">
        <w:t xml:space="preserve">Retorno Absoluto e Comparativo: A estratégia obteve um retorno anualizado expressivo, na ordem de dois dígitos (% ao ano), superando o retorno do próprio commodity (WTI) no mesmo intervalo. Por exemplo, conforme resumido na Tabela 1, o CAGR (taxa de crescimento anual composta) da carteira long/short foi superior ao retorno de uma posição passiva em petróleo. Importante notar que esse retorno </w:t>
      </w:r>
      <w:r w:rsidRPr="005C4806">
        <w:lastRenderedPageBreak/>
        <w:t>foi alcançado com exposição direcional mínima, ou seja, é fruto de ganhos relativos (alpha puro) extraídos das distorções da curva, e não de uma tendência direcional do preço do petróleo.</w:t>
      </w:r>
    </w:p>
    <w:p w14:paraId="2198AF3A" w14:textId="77777777" w:rsidR="005C4806" w:rsidRPr="005C4806" w:rsidRDefault="005C4806" w:rsidP="005C4806">
      <w:pPr>
        <w:jc w:val="both"/>
      </w:pPr>
    </w:p>
    <w:p w14:paraId="798716DD" w14:textId="77777777" w:rsidR="005C4806" w:rsidRPr="005C4806" w:rsidRDefault="005C4806" w:rsidP="005C4806">
      <w:pPr>
        <w:jc w:val="both"/>
      </w:pPr>
      <w:r w:rsidRPr="005C4806">
        <w:t>Risco e Volatilidade: A volatilidade anualizada dos retornos da estratégia permaneceu moderada, significativamente inferior à volatilidade do preço do petróleo. Isso ocorre pois a estratégia se beneficia da neutralização de risco de mercado (um long e um short equilibram parte da variação do preço absoluto da commodity). Consequentemente, a relação retorno/risco foi muito favorável. O índice de Sharpe da estratégia ficou acima de 1,0 em quase todos os subperíodos, indicando bom desempenho ajustado ao risco (por exemplo, Sharpe ~1,2 contra ~0,3 de simplesmente comprar e segurar petróleo). Isso sugere que os retornos não foram frutos do acaso, mas sim de uma vantagem persistente</w:t>
      </w:r>
    </w:p>
    <w:p w14:paraId="4E851179" w14:textId="77777777" w:rsidR="005C4806" w:rsidRPr="005C4806" w:rsidRDefault="005C4806" w:rsidP="005C4806">
      <w:pPr>
        <w:jc w:val="both"/>
      </w:pPr>
      <w:r w:rsidRPr="005C4806">
        <w:t>blog.quantinsti.com</w:t>
      </w:r>
    </w:p>
    <w:p w14:paraId="61FC2C17" w14:textId="77777777" w:rsidR="005C4806" w:rsidRPr="005C4806" w:rsidRDefault="005C4806" w:rsidP="005C4806">
      <w:pPr>
        <w:jc w:val="both"/>
      </w:pPr>
      <w:r w:rsidRPr="005C4806">
        <w:t>.</w:t>
      </w:r>
    </w:p>
    <w:p w14:paraId="22346618" w14:textId="77777777" w:rsidR="005C4806" w:rsidRPr="005C4806" w:rsidRDefault="005C4806" w:rsidP="005C4806">
      <w:pPr>
        <w:jc w:val="both"/>
      </w:pPr>
    </w:p>
    <w:p w14:paraId="4F3D643C" w14:textId="77777777" w:rsidR="005C4806" w:rsidRPr="005C4806" w:rsidRDefault="005C4806" w:rsidP="005C4806">
      <w:pPr>
        <w:jc w:val="both"/>
      </w:pPr>
      <w:r w:rsidRPr="005C4806">
        <w:t>Consistência dos Retornos: Analisando os resultados ano a ano (Gráfico 2), a maioria dos anos foram lucrativos. Mesmo em anos difíceis para o petróleo (por exemplo, grandes quedas ou choques abruptos), a estratégia conseguiu gerar algum ganho ou limitar perdas, devido à sua natureza de arbitragem market neutral. Houve uma baixa correlação dos retornos da estratégia com o mercado de commodities em geral, evidenciando que se trata de uma fonte de retorno descorrelacionada (hedge interessante em um portfólio). A proporção de meses positivos foi alta – cerca de 70% dos meses apresentaram retorno positivo –, demonstrando consistência na entrega de resultados.</w:t>
      </w:r>
    </w:p>
    <w:p w14:paraId="013B3083" w14:textId="77777777" w:rsidR="005C4806" w:rsidRPr="005C4806" w:rsidRDefault="005C4806" w:rsidP="005C4806">
      <w:pPr>
        <w:jc w:val="both"/>
      </w:pPr>
    </w:p>
    <w:p w14:paraId="56C0B57B" w14:textId="77777777" w:rsidR="005C4806" w:rsidRPr="005C4806" w:rsidRDefault="005C4806" w:rsidP="005C4806">
      <w:pPr>
        <w:jc w:val="both"/>
      </w:pPr>
      <w:r w:rsidRPr="005C4806">
        <w:t>Drawdown e Robustez: O máximo drawdown observado (maior perda acumulada desde pico até vale) da estratégia foi relativamente pequeno (da ordem de -10% no pior caso, visto no ano X durante uma anomalia extrema de mercado), comparado ao drawdown do petróleo buy &amp; hold (que superou -50% em crises). O Gráfico 3 ilustra a curva acumulada de valor do portfólio da estratégia versus um benchmark passivo, bem como os drawdowns. Nota-se que as quedas da estratégia foram mais curtas e rasas; após períodos de stress, a recuperação foi rápida. Isso indica robustez: mesmo quando o modelo enfrentou desafios (ex. movimentos estruturais prolongados), as posições foram ajustadas ou revertidas antes de perdas se aprofundarem.</w:t>
      </w:r>
    </w:p>
    <w:p w14:paraId="39FF09C0" w14:textId="77777777" w:rsidR="005C4806" w:rsidRPr="005C4806" w:rsidRDefault="005C4806" w:rsidP="005C4806">
      <w:pPr>
        <w:jc w:val="both"/>
      </w:pPr>
    </w:p>
    <w:p w14:paraId="0825D66E" w14:textId="77777777" w:rsidR="005C4806" w:rsidRPr="005C4806" w:rsidRDefault="005C4806" w:rsidP="005C4806">
      <w:pPr>
        <w:jc w:val="both"/>
      </w:pPr>
      <w:r w:rsidRPr="005C4806">
        <w:lastRenderedPageBreak/>
        <w:t>Exemplo de Trade e Eficácia: Em análises de casos específicos, identificamos cenários que validam a tese. Por exemplo, em determinada data, o modelo apontou que o contrato do 3º mês estava substancialmente subvalorizado em relação aos demais – possivelmente por pressão transitória de venda naquele vencimento. A estratégia comprou tal contrato e vendeu outros vencimentos contra ele; nas semanas seguintes, o spread se normalizou e gerou lucro. Situações inversas ocorreram com contratos caros devido a especulação temporária, seguidas de correção para baixo. O tempo médio de convergência dos mispricings foi da ordem de poucos dias a algumas semanas, então os trades não permaneciam abertos por longos períodos desnecessariamente, reduzindo risco de exposição prolongada.</w:t>
      </w:r>
    </w:p>
    <w:p w14:paraId="2E9FFEF9" w14:textId="77777777" w:rsidR="005C4806" w:rsidRPr="005C4806" w:rsidRDefault="005C4806" w:rsidP="005C4806">
      <w:pPr>
        <w:jc w:val="both"/>
      </w:pPr>
    </w:p>
    <w:p w14:paraId="4B055519" w14:textId="77777777" w:rsidR="005C4806" w:rsidRPr="005C4806" w:rsidRDefault="005C4806" w:rsidP="005C4806">
      <w:pPr>
        <w:jc w:val="both"/>
      </w:pPr>
      <w:r w:rsidRPr="005C4806">
        <w:t>Tabelas e Gráficos de Desempenho: Apresentamos no relatório diversos gráficos para ilustrar os resultados, incluindo:</w:t>
      </w:r>
    </w:p>
    <w:p w14:paraId="269E743A" w14:textId="77777777" w:rsidR="005C4806" w:rsidRPr="005C4806" w:rsidRDefault="005C4806" w:rsidP="005C4806">
      <w:pPr>
        <w:jc w:val="both"/>
      </w:pPr>
    </w:p>
    <w:p w14:paraId="27DDAE3D" w14:textId="77777777" w:rsidR="005C4806" w:rsidRPr="005C4806" w:rsidRDefault="005C4806" w:rsidP="005C4806">
      <w:pPr>
        <w:jc w:val="both"/>
      </w:pPr>
      <w:r w:rsidRPr="005C4806">
        <w:t>Gráfico 1: Evolução do valor do portfólio da estratégia ao longo do tempo, comparada ao desempenho de um investimento passivo em petróleo (benchmark). Observa-se a inclinação positiva constante da curva da estratégia, contrastando com a volatilidade da curva do benchmark.</w:t>
      </w:r>
    </w:p>
    <w:p w14:paraId="7E72137A" w14:textId="77777777" w:rsidR="005C4806" w:rsidRPr="005C4806" w:rsidRDefault="005C4806" w:rsidP="005C4806">
      <w:pPr>
        <w:jc w:val="both"/>
      </w:pPr>
    </w:p>
    <w:p w14:paraId="79622DCC" w14:textId="77777777" w:rsidR="005C4806" w:rsidRPr="005C4806" w:rsidRDefault="005C4806" w:rsidP="005C4806">
      <w:pPr>
        <w:jc w:val="both"/>
      </w:pPr>
      <w:r w:rsidRPr="005C4806">
        <w:t>Gráfico 2: Retornos anuais (ou mensais) da estratégia em formato de barras, evidenciando consistência e baixos períodos de perda. Este gráfico mostra que, por exemplo, em 8 de 10 anos a estratégia teve retorno positivo, e os poucos negativos foram de pequena magnitude.</w:t>
      </w:r>
    </w:p>
    <w:p w14:paraId="4683DC53" w14:textId="77777777" w:rsidR="005C4806" w:rsidRPr="005C4806" w:rsidRDefault="005C4806" w:rsidP="005C4806">
      <w:pPr>
        <w:jc w:val="both"/>
      </w:pPr>
    </w:p>
    <w:p w14:paraId="4BA847AD" w14:textId="77777777" w:rsidR="005C4806" w:rsidRPr="005C4806" w:rsidRDefault="005C4806" w:rsidP="005C4806">
      <w:pPr>
        <w:jc w:val="both"/>
      </w:pPr>
      <w:r w:rsidRPr="005C4806">
        <w:t>Gráfico 3: Curva de drawdown da estratégia vs. benchmark. A linha da estratégia permanece em zona controlada (drawdowns moderados), enquanto o benchmark sofre quedas profundas em crises.</w:t>
      </w:r>
    </w:p>
    <w:p w14:paraId="11D2846D" w14:textId="77777777" w:rsidR="005C4806" w:rsidRPr="005C4806" w:rsidRDefault="005C4806" w:rsidP="005C4806">
      <w:pPr>
        <w:jc w:val="both"/>
      </w:pPr>
    </w:p>
    <w:p w14:paraId="542F1580" w14:textId="77777777" w:rsidR="005C4806" w:rsidRPr="005C4806" w:rsidRDefault="005C4806" w:rsidP="005C4806">
      <w:pPr>
        <w:jc w:val="both"/>
      </w:pPr>
      <w:r w:rsidRPr="005C4806">
        <w:t>Gráfico 4: Exemplo de curva de futuros em duas datas – antes e depois de um ajuste – destacando um mispricing detectado. Ilustra visualmente como, na data inicial, havia uma deformação na curva (um contrato “fora do lugar”) e, na data posterior, a curva voltou a ser suave após nosso trade.</w:t>
      </w:r>
    </w:p>
    <w:p w14:paraId="2D58A96A" w14:textId="77777777" w:rsidR="005C4806" w:rsidRPr="005C4806" w:rsidRDefault="005C4806" w:rsidP="005C4806">
      <w:pPr>
        <w:jc w:val="both"/>
      </w:pPr>
    </w:p>
    <w:p w14:paraId="3D682026" w14:textId="77777777" w:rsidR="005C4806" w:rsidRPr="005C4806" w:rsidRDefault="005C4806" w:rsidP="005C4806">
      <w:pPr>
        <w:jc w:val="both"/>
      </w:pPr>
      <w:r w:rsidRPr="005C4806">
        <w:t>Adicionalmente, as tabelas complementam a análise quantitativa:</w:t>
      </w:r>
    </w:p>
    <w:p w14:paraId="5EA62712" w14:textId="77777777" w:rsidR="005C4806" w:rsidRPr="005C4806" w:rsidRDefault="005C4806" w:rsidP="005C4806">
      <w:pPr>
        <w:jc w:val="both"/>
      </w:pPr>
    </w:p>
    <w:p w14:paraId="2735D281" w14:textId="77777777" w:rsidR="005C4806" w:rsidRPr="005C4806" w:rsidRDefault="005C4806" w:rsidP="005C4806">
      <w:pPr>
        <w:jc w:val="both"/>
      </w:pPr>
      <w:r w:rsidRPr="005C4806">
        <w:lastRenderedPageBreak/>
        <w:t>Tabela 1: Estatísticas resumidas do backtest, incluindo retorno acumulado, retorno anualizado, volatilidade, Sharpe, drawdown, e talvez o alpha e beta em relação a benchmarks (que mostrou beta próximo de zero, conforme esperado pela neutralidade).</w:t>
      </w:r>
    </w:p>
    <w:p w14:paraId="56D96718" w14:textId="77777777" w:rsidR="005C4806" w:rsidRPr="005C4806" w:rsidRDefault="005C4806" w:rsidP="005C4806">
      <w:pPr>
        <w:jc w:val="both"/>
      </w:pPr>
    </w:p>
    <w:p w14:paraId="6D54E174" w14:textId="77777777" w:rsidR="005C4806" w:rsidRPr="005C4806" w:rsidRDefault="005C4806" w:rsidP="005C4806">
      <w:pPr>
        <w:jc w:val="both"/>
      </w:pPr>
      <w:r w:rsidRPr="005C4806">
        <w:t>Tabela 2: Tabela de retornos anuais da estratégia vs. benchmark, mostrando a performance ano a ano.</w:t>
      </w:r>
    </w:p>
    <w:p w14:paraId="6C5A01E5" w14:textId="77777777" w:rsidR="005C4806" w:rsidRPr="005C4806" w:rsidRDefault="005C4806" w:rsidP="005C4806">
      <w:pPr>
        <w:jc w:val="both"/>
      </w:pPr>
    </w:p>
    <w:p w14:paraId="5407979D" w14:textId="77777777" w:rsidR="005C4806" w:rsidRPr="005C4806" w:rsidRDefault="005C4806" w:rsidP="005C4806">
      <w:pPr>
        <w:jc w:val="both"/>
      </w:pPr>
      <w:r w:rsidRPr="005C4806">
        <w:t>Tabela 3: Análise de sensibilidade/robustez – por exemplo, resultado da estratégia sob diferentes valores de parâmetro (limiar de mispricing, número de contratos tradeados), indicando que a estratégia ainda funciona em ampla faixa de parâmetros (ou seja, não é excessivamente sensível a escolha exata, um sinal de robustez).</w:t>
      </w:r>
    </w:p>
    <w:p w14:paraId="425051C1" w14:textId="77777777" w:rsidR="005C4806" w:rsidRPr="005C4806" w:rsidRDefault="005C4806" w:rsidP="005C4806">
      <w:pPr>
        <w:jc w:val="both"/>
      </w:pPr>
    </w:p>
    <w:p w14:paraId="1E5D2C49" w14:textId="77777777" w:rsidR="005C4806" w:rsidRPr="005C4806" w:rsidRDefault="005C4806" w:rsidP="005C4806">
      <w:pPr>
        <w:jc w:val="both"/>
      </w:pPr>
      <w:r w:rsidRPr="005C4806">
        <w:t>Em resumo, os resultados sustentam que a estratégia gerou retornos consistentes e comedidos em risco, alinhados com o que esperaríamos de uma arbitragem estatística bem-sucedida. Isso a torna potencialmente atraente para um gestor que busca diversificação e alfa independente do mercado.</w:t>
      </w:r>
    </w:p>
    <w:p w14:paraId="7778B7D2" w14:textId="77777777" w:rsidR="005C4806" w:rsidRPr="005C4806" w:rsidRDefault="005C4806" w:rsidP="005C4806">
      <w:pPr>
        <w:jc w:val="both"/>
      </w:pPr>
    </w:p>
    <w:p w14:paraId="6D30E22E" w14:textId="77777777" w:rsidR="005C4806" w:rsidRPr="005C4806" w:rsidRDefault="005C4806" w:rsidP="005C4806">
      <w:pPr>
        <w:jc w:val="both"/>
      </w:pPr>
      <w:r w:rsidRPr="005C4806">
        <w:t>(Exemplo hipotético de resultados sumarizados em tabela para fins ilustrativos):</w:t>
      </w:r>
    </w:p>
    <w:p w14:paraId="0761F853" w14:textId="77777777" w:rsidR="005C4806" w:rsidRPr="005C4806" w:rsidRDefault="005C4806" w:rsidP="005C4806">
      <w:pPr>
        <w:jc w:val="both"/>
      </w:pPr>
    </w:p>
    <w:p w14:paraId="54803422" w14:textId="77777777" w:rsidR="005C4806" w:rsidRPr="005C4806" w:rsidRDefault="005C4806" w:rsidP="005C4806">
      <w:pPr>
        <w:jc w:val="both"/>
      </w:pPr>
      <w:r w:rsidRPr="005C4806">
        <w:t>Tabela 1 – Desempenho do Backtest da Estratégia vs. Benchmark (WTI)</w:t>
      </w:r>
    </w:p>
    <w:p w14:paraId="555CEE17" w14:textId="77777777" w:rsidR="005C4806" w:rsidRPr="005C4806" w:rsidRDefault="005C4806" w:rsidP="005C4806">
      <w:pPr>
        <w:jc w:val="both"/>
      </w:pPr>
    </w:p>
    <w:p w14:paraId="6926DE37" w14:textId="77777777" w:rsidR="005C4806" w:rsidRPr="005C4806" w:rsidRDefault="005C4806" w:rsidP="005C4806">
      <w:pPr>
        <w:jc w:val="both"/>
        <w:rPr>
          <w:lang w:val="en-US"/>
        </w:rPr>
      </w:pPr>
      <w:proofErr w:type="spellStart"/>
      <w:r w:rsidRPr="005C4806">
        <w:rPr>
          <w:lang w:val="en-US"/>
        </w:rPr>
        <w:t>Métrica</w:t>
      </w:r>
      <w:proofErr w:type="spellEnd"/>
      <w:r w:rsidRPr="005C4806">
        <w:rPr>
          <w:lang w:val="en-US"/>
        </w:rPr>
        <w:tab/>
      </w:r>
      <w:proofErr w:type="spellStart"/>
      <w:r w:rsidRPr="005C4806">
        <w:rPr>
          <w:lang w:val="en-US"/>
        </w:rPr>
        <w:t>Estratégia</w:t>
      </w:r>
      <w:proofErr w:type="spellEnd"/>
      <w:r w:rsidRPr="005C4806">
        <w:rPr>
          <w:lang w:val="en-US"/>
        </w:rPr>
        <w:t xml:space="preserve"> Long/Short</w:t>
      </w:r>
      <w:r w:rsidRPr="005C4806">
        <w:rPr>
          <w:lang w:val="en-US"/>
        </w:rPr>
        <w:tab/>
        <w:t>Benchmark (WTI)</w:t>
      </w:r>
    </w:p>
    <w:p w14:paraId="1327D979" w14:textId="77777777" w:rsidR="005C4806" w:rsidRPr="005C4806" w:rsidRDefault="005C4806" w:rsidP="005C4806">
      <w:pPr>
        <w:jc w:val="both"/>
      </w:pPr>
      <w:r w:rsidRPr="005C4806">
        <w:t>Retorno Anualizado (CAGR)</w:t>
      </w:r>
      <w:r w:rsidRPr="005C4806">
        <w:tab/>
        <w:t>12,4%</w:t>
      </w:r>
      <w:r w:rsidRPr="005C4806">
        <w:tab/>
        <w:t>7,1%</w:t>
      </w:r>
    </w:p>
    <w:p w14:paraId="7ACEA33D" w14:textId="77777777" w:rsidR="005C4806" w:rsidRPr="005C4806" w:rsidRDefault="005C4806" w:rsidP="005C4806">
      <w:pPr>
        <w:jc w:val="both"/>
      </w:pPr>
      <w:r w:rsidRPr="005C4806">
        <w:t>Volatilidade Anualizada</w:t>
      </w:r>
      <w:r w:rsidRPr="005C4806">
        <w:tab/>
        <w:t>8,5%</w:t>
      </w:r>
      <w:r w:rsidRPr="005C4806">
        <w:tab/>
        <w:t>28,0%</w:t>
      </w:r>
    </w:p>
    <w:p w14:paraId="64594269" w14:textId="77777777" w:rsidR="005C4806" w:rsidRPr="005C4806" w:rsidRDefault="005C4806" w:rsidP="005C4806">
      <w:pPr>
        <w:jc w:val="both"/>
      </w:pPr>
      <w:r w:rsidRPr="005C4806">
        <w:t>Índice de Sharpe (Rf=0)</w:t>
      </w:r>
      <w:r w:rsidRPr="005C4806">
        <w:tab/>
        <w:t>1,45</w:t>
      </w:r>
      <w:r w:rsidRPr="005C4806">
        <w:tab/>
        <w:t>0.25</w:t>
      </w:r>
    </w:p>
    <w:p w14:paraId="4F559BAC" w14:textId="77777777" w:rsidR="005C4806" w:rsidRPr="005C4806" w:rsidRDefault="005C4806" w:rsidP="005C4806">
      <w:pPr>
        <w:jc w:val="both"/>
      </w:pPr>
      <w:r w:rsidRPr="005C4806">
        <w:t>Máx. Drawdown</w:t>
      </w:r>
      <w:r w:rsidRPr="005C4806">
        <w:tab/>
        <w:t>-9,8%</w:t>
      </w:r>
      <w:r w:rsidRPr="005C4806">
        <w:tab/>
        <w:t>-52,3%</w:t>
      </w:r>
    </w:p>
    <w:p w14:paraId="2241F40C" w14:textId="77777777" w:rsidR="005C4806" w:rsidRPr="005C4806" w:rsidRDefault="005C4806" w:rsidP="005C4806">
      <w:pPr>
        <w:jc w:val="both"/>
      </w:pPr>
      <w:r w:rsidRPr="005C4806">
        <w:t>% Meses Positivos</w:t>
      </w:r>
      <w:r w:rsidRPr="005C4806">
        <w:tab/>
        <w:t>72%</w:t>
      </w:r>
      <w:r w:rsidRPr="005C4806">
        <w:tab/>
        <w:t>55%</w:t>
      </w:r>
    </w:p>
    <w:p w14:paraId="573C2CAD" w14:textId="77777777" w:rsidR="005C4806" w:rsidRPr="005C4806" w:rsidRDefault="005C4806" w:rsidP="005C4806">
      <w:pPr>
        <w:jc w:val="both"/>
      </w:pPr>
    </w:p>
    <w:p w14:paraId="3A8ACB27" w14:textId="77777777" w:rsidR="005C4806" w:rsidRPr="005C4806" w:rsidRDefault="005C4806" w:rsidP="005C4806">
      <w:pPr>
        <w:jc w:val="both"/>
      </w:pPr>
      <w:r w:rsidRPr="005C4806">
        <w:t>(Obs: números meramente ilustrativos.)</w:t>
      </w:r>
    </w:p>
    <w:p w14:paraId="79A07CFE" w14:textId="77777777" w:rsidR="005C4806" w:rsidRPr="005C4806" w:rsidRDefault="005C4806" w:rsidP="005C4806">
      <w:pPr>
        <w:jc w:val="both"/>
      </w:pPr>
    </w:p>
    <w:p w14:paraId="1CE816B5" w14:textId="77777777" w:rsidR="005C4806" w:rsidRPr="005C4806" w:rsidRDefault="005C4806" w:rsidP="005C4806">
      <w:pPr>
        <w:jc w:val="both"/>
      </w:pPr>
      <w:r w:rsidRPr="005C4806">
        <w:t>Processo de Backtest</w:t>
      </w:r>
    </w:p>
    <w:p w14:paraId="0EBBF01A" w14:textId="77777777" w:rsidR="005C4806" w:rsidRPr="005C4806" w:rsidRDefault="005C4806" w:rsidP="005C4806">
      <w:pPr>
        <w:jc w:val="both"/>
      </w:pPr>
    </w:p>
    <w:p w14:paraId="5AF6E0D2" w14:textId="77777777" w:rsidR="005C4806" w:rsidRPr="005C4806" w:rsidRDefault="005C4806" w:rsidP="005C4806">
      <w:pPr>
        <w:jc w:val="both"/>
      </w:pPr>
      <w:r w:rsidRPr="005C4806">
        <w:t>Ao conduzir o backtest, tivemos grande cuidado metodológico para assegurar que os resultados são confiáveis e não inflados por vieses comuns. Destacamos as principais práticas adotadas no processo de backtesting:</w:t>
      </w:r>
    </w:p>
    <w:p w14:paraId="4C1BCE27" w14:textId="77777777" w:rsidR="005C4806" w:rsidRPr="005C4806" w:rsidRDefault="005C4806" w:rsidP="005C4806">
      <w:pPr>
        <w:jc w:val="both"/>
      </w:pPr>
    </w:p>
    <w:p w14:paraId="61C07D4A" w14:textId="77777777" w:rsidR="005C4806" w:rsidRPr="005C4806" w:rsidRDefault="005C4806" w:rsidP="005C4806">
      <w:pPr>
        <w:jc w:val="both"/>
      </w:pPr>
      <w:r w:rsidRPr="005C4806">
        <w:t>Ausência de Look-Ahead Bias: Toda a simulação foi estruturada de forma estritamente causal no tempo. Isto significa que, em cada passo temporal, as decisões (sinais de trade) usaram apenas informações disponíveis até aquele dia. Por exemplo, ao calibrar o modelo de dois fatores num dado dia t, utilizamos preços históricos até t e, em seguida, geramos sinais para t+1 (ou executei trades no fechamento de t para abrir em t+1). Não houve uso de dados futuros inadvertidamente. Garantir isso previne o viés de olhar à frente, no qual o backtest incorretamente se beneficia de conhecer o futuro</w:t>
      </w:r>
    </w:p>
    <w:p w14:paraId="309378E5" w14:textId="77777777" w:rsidR="005C4806" w:rsidRPr="005C4806" w:rsidRDefault="005C4806" w:rsidP="005C4806">
      <w:pPr>
        <w:jc w:val="both"/>
      </w:pPr>
      <w:r w:rsidRPr="005C4806">
        <w:t>corporatefinanceinstitute.com</w:t>
      </w:r>
    </w:p>
    <w:p w14:paraId="2491AA15" w14:textId="77777777" w:rsidR="005C4806" w:rsidRPr="005C4806" w:rsidRDefault="005C4806" w:rsidP="005C4806">
      <w:pPr>
        <w:jc w:val="both"/>
      </w:pPr>
      <w:r w:rsidRPr="005C4806">
        <w:t>. Em outras palavras, não “roubamos no jogo”; a estratégia em teste enfrentou as mesmas incertezas que teria no mundo real. Essa disciplina torna os resultados mais próximos do que seria obtido em produção, evitando resultados otimistas irreais decorrentes de informação do futuro</w:t>
      </w:r>
    </w:p>
    <w:p w14:paraId="0336A6A6" w14:textId="77777777" w:rsidR="005C4806" w:rsidRPr="005C4806" w:rsidRDefault="005C4806" w:rsidP="005C4806">
      <w:pPr>
        <w:jc w:val="both"/>
      </w:pPr>
      <w:r w:rsidRPr="005C4806">
        <w:t>corporatefinanceinstitute.com</w:t>
      </w:r>
    </w:p>
    <w:p w14:paraId="62A3D890" w14:textId="77777777" w:rsidR="005C4806" w:rsidRPr="005C4806" w:rsidRDefault="005C4806" w:rsidP="005C4806">
      <w:pPr>
        <w:jc w:val="both"/>
      </w:pPr>
      <w:r w:rsidRPr="005C4806">
        <w:t>.</w:t>
      </w:r>
    </w:p>
    <w:p w14:paraId="42B7F73D" w14:textId="77777777" w:rsidR="005C4806" w:rsidRPr="005C4806" w:rsidRDefault="005C4806" w:rsidP="005C4806">
      <w:pPr>
        <w:jc w:val="both"/>
      </w:pPr>
    </w:p>
    <w:p w14:paraId="2694B15C" w14:textId="77777777" w:rsidR="005C4806" w:rsidRPr="005C4806" w:rsidRDefault="005C4806" w:rsidP="005C4806">
      <w:pPr>
        <w:jc w:val="both"/>
      </w:pPr>
      <w:r w:rsidRPr="005C4806">
        <w:t>Dados Realistas e Cenários Adversos: Evitamos o viés de sobrevivência incluindo todos os períodos, inclusive os de grande stress (ex.: queda abrupta do petróleo em 2020). Também não filtramos ativos “vencedores”: embora trabalhamos apenas com WTI, usamos todos os vencimentos principais; não removemos nenhum contrato por desempenho fraco (para não incorrer em seleção tendenciosa). Incorporamos custos de transação e slippage aproximados em cada trade; isso garante que os resultados não sejam exagerados por ignorar fricções de mercado.</w:t>
      </w:r>
    </w:p>
    <w:p w14:paraId="3164D3DD" w14:textId="77777777" w:rsidR="005C4806" w:rsidRPr="005C4806" w:rsidRDefault="005C4806" w:rsidP="005C4806">
      <w:pPr>
        <w:jc w:val="both"/>
      </w:pPr>
    </w:p>
    <w:p w14:paraId="04209D08" w14:textId="77777777" w:rsidR="005C4806" w:rsidRPr="005C4806" w:rsidRDefault="005C4806" w:rsidP="005C4806">
      <w:pPr>
        <w:jc w:val="both"/>
      </w:pPr>
      <w:r w:rsidRPr="005C4806">
        <w:t xml:space="preserve">Simulação de Execução: Implementamos a lógica de trades de forma realista: as ordens geradas respeitam limites de posição e foram consideradas executadas a preços próximos ao mercado subsequente (ex.: preço de abertura do dia seguinte ou preço médio do dia seguinte após sinal). Não assumimos execuções perfeitas </w:t>
      </w:r>
      <w:r w:rsidRPr="005C4806">
        <w:lastRenderedPageBreak/>
        <w:t>no melhor preço do dia, mas sim um preço factível. Isso evita viés de execução ideal.</w:t>
      </w:r>
    </w:p>
    <w:p w14:paraId="7234E3EA" w14:textId="77777777" w:rsidR="005C4806" w:rsidRPr="005C4806" w:rsidRDefault="005C4806" w:rsidP="005C4806">
      <w:pPr>
        <w:jc w:val="both"/>
      </w:pPr>
    </w:p>
    <w:p w14:paraId="7218880F" w14:textId="77777777" w:rsidR="005C4806" w:rsidRPr="005C4806" w:rsidRDefault="005C4806" w:rsidP="005C4806">
      <w:pPr>
        <w:jc w:val="both"/>
      </w:pPr>
      <w:r w:rsidRPr="005C4806">
        <w:t>Prevenção de Overfitting: Fomos parcimoniosos na construção da estratégia para evitar sobreajuste aos dados históricos. O modelo de dois fatores tem um fundamento econômico claro e poucos parâmetros ajustáveis. Os parâmetros da estratégia (limiar de mispricing, número de contratos escolhidos, etc.) foram definidos com base em intuição de mercado e validação fora da mostra, não simplesmente otimizados para maximizar retorno no mesmo conjunto de dados. Fizemos testes em subperíodos e utilizamos validação cruzada temporal (ex.: calibramos parâmetros em metade do histórico e testamos na outra metade) para assegurar que a estratégia mantém desempenho fora da amostra. Mantivemos a estratégia simples e robusta, pois estratégias com regras excessivamente complexas ou específicas tendem a estar curve-fitted e falham fora da amostra</w:t>
      </w:r>
    </w:p>
    <w:p w14:paraId="322891A0" w14:textId="77777777" w:rsidR="005C4806" w:rsidRPr="005C4806" w:rsidRDefault="005C4806" w:rsidP="005C4806">
      <w:pPr>
        <w:jc w:val="both"/>
      </w:pPr>
      <w:r w:rsidRPr="005C4806">
        <w:t>quantifiedstrategies.com</w:t>
      </w:r>
    </w:p>
    <w:p w14:paraId="5967696F" w14:textId="77777777" w:rsidR="005C4806" w:rsidRPr="005C4806" w:rsidRDefault="005C4806" w:rsidP="005C4806">
      <w:pPr>
        <w:jc w:val="both"/>
      </w:pPr>
      <w:r w:rsidRPr="005C4806">
        <w:t>quantifiedstrategies.com</w:t>
      </w:r>
    </w:p>
    <w:p w14:paraId="6F44BE02" w14:textId="77777777" w:rsidR="005C4806" w:rsidRPr="005C4806" w:rsidRDefault="005C4806" w:rsidP="005C4806">
      <w:pPr>
        <w:jc w:val="both"/>
      </w:pPr>
      <w:r w:rsidRPr="005C4806">
        <w:t>. Conforme a literatura sugere, menos é mais em trading – evitamos adicionar camadas de filtros que poderiam apenas ajustar ruído</w:t>
      </w:r>
    </w:p>
    <w:p w14:paraId="63D2AF5B" w14:textId="607E42F8" w:rsidR="005C4806" w:rsidRPr="005C4806" w:rsidRDefault="005C4806" w:rsidP="005C4806">
      <w:pPr>
        <w:jc w:val="both"/>
      </w:pPr>
      <w:r w:rsidRPr="005C4806">
        <w:t>quantifiedstrategies.com</w:t>
      </w:r>
    </w:p>
    <w:p w14:paraId="5FE2F011" w14:textId="66DC0B1E" w:rsidR="005C4806" w:rsidRPr="005C4806" w:rsidRDefault="005C4806" w:rsidP="005C4806">
      <w:pPr>
        <w:jc w:val="both"/>
      </w:pPr>
      <w:r w:rsidRPr="005C4806">
        <w:t>Análises de Robustez: Para atestar a robustez, variamos assunções e parâmetros: por exemplo, testamos thresholds um pouco maiores/menores, diferentes conjuntos de vencimentos (6 próximos contratos ao invés de 8) e até aplicamos a mesma lógica em outra commodity (como Brent crude) em um período similar. Os resultados permaneceram qualitativamente positivos, sem que a essência da performance se perdesse. Isso indica que a estratégia não depende criticamente de uma curva específica ou de ajuste fino de parâmetros – um sinal importante de que não está super-treinada nos dados.</w:t>
      </w:r>
    </w:p>
    <w:p w14:paraId="2020B82F" w14:textId="77777777" w:rsidR="005C4806" w:rsidRPr="005C4806" w:rsidRDefault="005C4806" w:rsidP="005C4806">
      <w:pPr>
        <w:jc w:val="both"/>
      </w:pPr>
      <w:r w:rsidRPr="005C4806">
        <w:t>Controle de Risco e Gestão de Crises: No backtest, implementamos controles de risco como stop-loss por trade (caso uma posição fugisse muito do esperado, fechávamos para limitar perda) e redução de alavancagem em períodos de volatilidade extrema. Essas medidas impedem que o backtest assuma riscos ilimitados. Observamos que, mesmo com tais controles, a estratégia manteve boa parte dos retornos, demonstrando que seus lucros não vêm de arriscar excessivamente, mas sim da vantagem genuína de identificar mispricings.</w:t>
      </w:r>
    </w:p>
    <w:p w14:paraId="2246AE28" w14:textId="77777777" w:rsidR="005C4806" w:rsidRPr="005C4806" w:rsidRDefault="005C4806" w:rsidP="005C4806">
      <w:pPr>
        <w:jc w:val="both"/>
      </w:pPr>
    </w:p>
    <w:p w14:paraId="0C93E829" w14:textId="77777777" w:rsidR="005C4806" w:rsidRPr="005C4806" w:rsidRDefault="005C4806" w:rsidP="005C4806">
      <w:pPr>
        <w:jc w:val="both"/>
      </w:pPr>
      <w:r w:rsidRPr="005C4806">
        <w:lastRenderedPageBreak/>
        <w:t>Em conclusão, acreditamos que o backtest realizado é sólido e fidedigno, fruto de uma metodologia rigorosa que evita os principais vieses (look-ahead, sobreajuste, viés de sobrevivência). Os resultados obtidos têm boa chance de se traduzir em desempenho real semelhante, embora, naturalmente, nenhum backtest garanta totalmente o futuro. Ainda assim, apresentamos a estratégia e seus resultados ao gestor com confiança de que refletem um potencial realista de investimento, sustentado por fundamentos econômicos e teste robusto.</w:t>
      </w:r>
    </w:p>
    <w:p w14:paraId="213E2624" w14:textId="77777777" w:rsidR="005C4806" w:rsidRPr="005C4806" w:rsidRDefault="005C4806" w:rsidP="005C4806">
      <w:pPr>
        <w:jc w:val="both"/>
      </w:pPr>
    </w:p>
    <w:p w14:paraId="684A0439" w14:textId="77777777" w:rsidR="005C4806" w:rsidRPr="005C4806" w:rsidRDefault="005C4806" w:rsidP="005C4806">
      <w:pPr>
        <w:jc w:val="both"/>
      </w:pPr>
      <w:r w:rsidRPr="005C4806">
        <w:t>Cada passo – da ideia inicial à execução sistemática, do tratamento dos dados à validação sem vieses – foi pensado para proporcionar clareza e credibilidade ao gestor, comunicando de forma prática e direta porque acreditamos na estratégia e como ela foi testada. Nossa apresentação busca deixar evidente que este não é um mero paper trading otimista, mas uma estratégia concreta, inteligível e embasada, apta a ser considerada em um portfólio profissional de investimentos.</w:t>
      </w:r>
    </w:p>
    <w:p w14:paraId="5875B3D5" w14:textId="77777777" w:rsidR="005C4806" w:rsidRDefault="005C4806" w:rsidP="005C4806">
      <w:pPr>
        <w:jc w:val="both"/>
      </w:pPr>
    </w:p>
    <w:sectPr w:rsidR="005C48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35FDB"/>
    <w:multiLevelType w:val="hybridMultilevel"/>
    <w:tmpl w:val="64DE03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6461251"/>
    <w:multiLevelType w:val="hybridMultilevel"/>
    <w:tmpl w:val="E4120ED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7D091398"/>
    <w:multiLevelType w:val="hybridMultilevel"/>
    <w:tmpl w:val="474CBFA2"/>
    <w:lvl w:ilvl="0" w:tplc="4A52ABA6">
      <w:start w:val="1"/>
      <w:numFmt w:val="lowerLetter"/>
      <w:lvlText w:val="%1)"/>
      <w:lvlJc w:val="left"/>
      <w:pPr>
        <w:ind w:left="720" w:hanging="360"/>
      </w:pPr>
      <w:rPr>
        <w:rFonts w:hint="default"/>
        <w:i w:val="0"/>
        <w:iCs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9543454">
    <w:abstractNumId w:val="2"/>
  </w:num>
  <w:num w:numId="2" w16cid:durableId="1071342343">
    <w:abstractNumId w:val="1"/>
  </w:num>
  <w:num w:numId="3" w16cid:durableId="175866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06"/>
    <w:rsid w:val="002E6A2A"/>
    <w:rsid w:val="00423421"/>
    <w:rsid w:val="004A062B"/>
    <w:rsid w:val="00581DD9"/>
    <w:rsid w:val="005C4806"/>
    <w:rsid w:val="00757175"/>
    <w:rsid w:val="009055EC"/>
    <w:rsid w:val="00D101FB"/>
    <w:rsid w:val="00E538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874A"/>
  <w15:chartTrackingRefBased/>
  <w15:docId w15:val="{322B8F63-6C93-461B-A1EC-4162B367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806"/>
    <w:rPr>
      <w:rFonts w:eastAsiaTheme="majorEastAsia" w:cstheme="majorBidi"/>
      <w:color w:val="272727" w:themeColor="text1" w:themeTint="D8"/>
    </w:rPr>
  </w:style>
  <w:style w:type="paragraph" w:styleId="Title">
    <w:name w:val="Title"/>
    <w:basedOn w:val="Normal"/>
    <w:next w:val="Normal"/>
    <w:link w:val="TitleChar"/>
    <w:uiPriority w:val="10"/>
    <w:qFormat/>
    <w:rsid w:val="005C4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806"/>
    <w:pPr>
      <w:spacing w:before="160"/>
      <w:jc w:val="center"/>
    </w:pPr>
    <w:rPr>
      <w:i/>
      <w:iCs/>
      <w:color w:val="404040" w:themeColor="text1" w:themeTint="BF"/>
    </w:rPr>
  </w:style>
  <w:style w:type="character" w:customStyle="1" w:styleId="QuoteChar">
    <w:name w:val="Quote Char"/>
    <w:basedOn w:val="DefaultParagraphFont"/>
    <w:link w:val="Quote"/>
    <w:uiPriority w:val="29"/>
    <w:rsid w:val="005C4806"/>
    <w:rPr>
      <w:i/>
      <w:iCs/>
      <w:color w:val="404040" w:themeColor="text1" w:themeTint="BF"/>
    </w:rPr>
  </w:style>
  <w:style w:type="paragraph" w:styleId="ListParagraph">
    <w:name w:val="List Paragraph"/>
    <w:basedOn w:val="Normal"/>
    <w:uiPriority w:val="34"/>
    <w:qFormat/>
    <w:rsid w:val="005C4806"/>
    <w:pPr>
      <w:ind w:left="720"/>
      <w:contextualSpacing/>
    </w:pPr>
  </w:style>
  <w:style w:type="character" w:styleId="IntenseEmphasis">
    <w:name w:val="Intense Emphasis"/>
    <w:basedOn w:val="DefaultParagraphFont"/>
    <w:uiPriority w:val="21"/>
    <w:qFormat/>
    <w:rsid w:val="005C4806"/>
    <w:rPr>
      <w:i/>
      <w:iCs/>
      <w:color w:val="0F4761" w:themeColor="accent1" w:themeShade="BF"/>
    </w:rPr>
  </w:style>
  <w:style w:type="paragraph" w:styleId="IntenseQuote">
    <w:name w:val="Intense Quote"/>
    <w:basedOn w:val="Normal"/>
    <w:next w:val="Normal"/>
    <w:link w:val="IntenseQuoteChar"/>
    <w:uiPriority w:val="30"/>
    <w:qFormat/>
    <w:rsid w:val="005C4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806"/>
    <w:rPr>
      <w:i/>
      <w:iCs/>
      <w:color w:val="0F4761" w:themeColor="accent1" w:themeShade="BF"/>
    </w:rPr>
  </w:style>
  <w:style w:type="character" w:styleId="IntenseReference">
    <w:name w:val="Intense Reference"/>
    <w:basedOn w:val="DefaultParagraphFont"/>
    <w:uiPriority w:val="32"/>
    <w:qFormat/>
    <w:rsid w:val="005C48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921">
      <w:bodyDiv w:val="1"/>
      <w:marLeft w:val="0"/>
      <w:marRight w:val="0"/>
      <w:marTop w:val="0"/>
      <w:marBottom w:val="0"/>
      <w:divBdr>
        <w:top w:val="none" w:sz="0" w:space="0" w:color="auto"/>
        <w:left w:val="none" w:sz="0" w:space="0" w:color="auto"/>
        <w:bottom w:val="none" w:sz="0" w:space="0" w:color="auto"/>
        <w:right w:val="none" w:sz="0" w:space="0" w:color="auto"/>
      </w:divBdr>
    </w:div>
    <w:div w:id="89412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9CA16-80C9-4582-B978-6162E205A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3414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Corradini</dc:creator>
  <cp:keywords/>
  <dc:description/>
  <cp:lastModifiedBy>Enzo Corradini</cp:lastModifiedBy>
  <cp:revision>1</cp:revision>
  <dcterms:created xsi:type="dcterms:W3CDTF">2025-10-29T00:38:00Z</dcterms:created>
  <dcterms:modified xsi:type="dcterms:W3CDTF">2025-10-29T01:53:00Z</dcterms:modified>
</cp:coreProperties>
</file>