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007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del progreso en la actualización de vehículos.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 bloqueos o desafíos.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las pruebas de la funcionalidad de actualización.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Continuó con el desarrollo de la funcionalidad de actualización.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la interfaz de usuario para la actualización de vehículos.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xIiiyePLf4qgB3TKXJEDfjQXg==">CgMxLjA4AHIhMUJTWmV2TDRSbHoxMS1JZmd5Tzc1QTh6eDRtNFYyQ1dE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