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37841253"/>
        <w:docPartObj>
          <w:docPartGallery w:val="Cover Pages"/>
          <w:docPartUnique/>
        </w:docPartObj>
      </w:sdtPr>
      <w:sdtEndPr>
        <w:rPr>
          <w:rFonts w:eastAsiaTheme="minorEastAsia" w:cs="Times New Roman"/>
          <w:sz w:val="28"/>
          <w:szCs w:val="28"/>
        </w:rPr>
      </w:sdtEndPr>
      <w:sdtContent>
        <w:p w14:paraId="7BF19EAA" w14:textId="33B7E4C5" w:rsidR="006A3B19" w:rsidRDefault="006A3B1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60D7A4" wp14:editId="413DA06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bookmarkStart w:id="0" w:name="_Hlk74760593"/>
                                <w:bookmarkStart w:id="1" w:name="_Hlk74760594"/>
                                <w:p w14:paraId="34880433" w14:textId="754BC6EB" w:rsidR="006A3B19" w:rsidRPr="006A3B19" w:rsidRDefault="006A3B19" w:rsidP="006A3B19">
                                  <w:pPr>
                                    <w:pStyle w:val="Sinespaciado"/>
                                    <w:spacing w:before="80" w:after="40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sz w:val="26"/>
                                        <w:szCs w:val="26"/>
                                      </w:rPr>
                                      <w:alias w:val="Subtitle"/>
                                      <w:tag w:val=""/>
                                      <w:id w:val="-209015168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6A3B19"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6A3B19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6A3B19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Trabajo final </w:t>
                                  </w:r>
                                  <w:r w:rsidRPr="006A3B19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| Modulación y utilización de QPSK y QAM (Conversión D/A)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. </w:t>
                                  </w:r>
                                  <w:bookmarkStart w:id="2" w:name="_Hlk74760557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  </w:t>
                                  </w:r>
                                  <w:r w:rsidRPr="006A3B19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t xml:space="preserve">Dr. Ing. Marcelo Capelletti </w:t>
                                  </w:r>
                                </w:p>
                                <w:bookmarkEnd w:id="2"/>
                                <w:p w14:paraId="6CAD9848" w14:textId="281412AA" w:rsidR="006A3B19" w:rsidRPr="006A3B19" w:rsidRDefault="006A3B19" w:rsidP="006A3B19">
                                  <w:pPr>
                                    <w:pStyle w:val="Sinespaciado"/>
                                    <w:spacing w:before="80" w:after="40"/>
                                    <w:ind w:firstLine="1701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</w:pPr>
                                  <w:r w:rsidRPr="006A3B19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t xml:space="preserve">Nicolas Vitek – Legajo </w:t>
                                  </w:r>
                                  <w:proofErr w:type="spellStart"/>
                                  <w:r w:rsidRPr="006A3B19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t>xxxxxx</w:t>
                                  </w:r>
                                  <w:proofErr w:type="spellEnd"/>
                                  <w:r w:rsidRPr="006A3B19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t xml:space="preserve"> – Comisión 2</w:t>
                                  </w:r>
                                </w:p>
                                <w:bookmarkStart w:id="3" w:name="_Hlk74760662"/>
                                <w:p w14:paraId="0CE85290" w14:textId="06983958" w:rsidR="006A3B19" w:rsidRPr="006A3B19" w:rsidRDefault="006A3B19" w:rsidP="006A3B19">
                                  <w:pPr>
                                    <w:spacing w:before="80" w:after="40" w:line="240" w:lineRule="auto"/>
                                    <w:ind w:firstLine="1701"/>
                                    <w:jc w:val="right"/>
                                    <w:rPr>
                                      <w:rFonts w:eastAsia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rFonts w:eastAsia="Times New Roman" w:cs="Times New Roman"/>
                                        <w:color w:val="FFFFFF" w:themeColor="background1"/>
                                        <w:sz w:val="28"/>
                                        <w:szCs w:val="28"/>
                                        <w:lang w:val="es-MX"/>
                                      </w:rPr>
                                      <w:alias w:val="Author"/>
                                      <w:tag w:val=""/>
                                      <w:id w:val="-1536112409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Pr="006A3B19">
                                        <w:rPr>
                                          <w:rFonts w:eastAsia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  <w:t>Verónica</w:t>
                                      </w:r>
                                      <w:r w:rsidRPr="006A3B19">
                                        <w:rPr>
                                          <w:rFonts w:eastAsia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  <w:t xml:space="preserve"> Scholz – Legajo </w:t>
                                      </w:r>
                                      <w:proofErr w:type="spellStart"/>
                                      <w:r w:rsidRPr="006A3B19">
                                        <w:rPr>
                                          <w:rFonts w:eastAsia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  <w:t>xxxxxx</w:t>
                                      </w:r>
                                      <w:proofErr w:type="spellEnd"/>
                                      <w:r w:rsidRPr="006A3B19">
                                        <w:rPr>
                                          <w:rFonts w:eastAsia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  <w:t xml:space="preserve"> – Comisión 1</w:t>
                                      </w:r>
                                      <w:r w:rsidRPr="006A3B19">
                                        <w:rPr>
                                          <w:rFonts w:eastAsia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  <w:bookmarkEnd w:id="3"/>
                                <w:p w14:paraId="251CBCEE" w14:textId="39EFBFE3" w:rsidR="006A3B19" w:rsidRDefault="006A3B19" w:rsidP="006A3B19">
                                  <w:pPr>
                                    <w:pStyle w:val="Sinespaciado"/>
                                    <w:spacing w:before="80" w:after="40"/>
                                    <w:ind w:firstLine="1701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s-MX"/>
                                    </w:rPr>
                                  </w:pPr>
                                </w:p>
                                <w:bookmarkEnd w:id="0"/>
                                <w:bookmarkEnd w:id="1"/>
                                <w:p w14:paraId="5FFA5845" w14:textId="77777777" w:rsidR="006A3B19" w:rsidRPr="004F7A4F" w:rsidRDefault="006A3B19" w:rsidP="006A3B19">
                                  <w:pPr>
                                    <w:pStyle w:val="Sinespaciado"/>
                                    <w:spacing w:before="80" w:after="40"/>
                                    <w:rPr>
                                      <w:rFonts w:ascii="Times New Roman" w:hAnsi="Times New Roman" w:cs="Times New Roman"/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14:paraId="1CDEDD46" w14:textId="25B69422" w:rsidR="006A3B19" w:rsidRPr="006A3B19" w:rsidRDefault="006A3B1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CDB8106" w14:textId="3E103803" w:rsidR="006A3B19" w:rsidRDefault="006A3B1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I3008 | INFORMACION Y COMUNICACIONES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60D7A4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bookmarkStart w:id="4" w:name="_Hlk74760593"/>
                          <w:bookmarkStart w:id="5" w:name="_Hlk74760594"/>
                          <w:p w14:paraId="34880433" w14:textId="754BC6EB" w:rsidR="006A3B19" w:rsidRPr="006A3B19" w:rsidRDefault="006A3B19" w:rsidP="006A3B19">
                            <w:pPr>
                              <w:pStyle w:val="Sinespaciado"/>
                              <w:spacing w:before="80" w:after="40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alias w:val="Subtitle"/>
                                <w:tag w:val=""/>
                                <w:id w:val="-209015168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6A3B19"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6A3B1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6A3B1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Trabajo final </w:t>
                            </w:r>
                            <w:r w:rsidRPr="006A3B1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| Modulación y utilización de QPSK y QAM (Conversión D/A)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. </w:t>
                            </w:r>
                            <w:bookmarkStart w:id="6" w:name="_Hlk74760557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6A3B1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Dr. Ing. Marcelo Capelletti </w:t>
                            </w:r>
                          </w:p>
                          <w:bookmarkEnd w:id="6"/>
                          <w:p w14:paraId="6CAD9848" w14:textId="281412AA" w:rsidR="006A3B19" w:rsidRPr="006A3B19" w:rsidRDefault="006A3B19" w:rsidP="006A3B19">
                            <w:pPr>
                              <w:pStyle w:val="Sinespaciado"/>
                              <w:spacing w:before="80" w:after="40"/>
                              <w:ind w:firstLine="1701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6A3B1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Nicolas Vitek – Legajo </w:t>
                            </w:r>
                            <w:proofErr w:type="spellStart"/>
                            <w:r w:rsidRPr="006A3B1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xxxxxx</w:t>
                            </w:r>
                            <w:proofErr w:type="spellEnd"/>
                            <w:r w:rsidRPr="006A3B1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 – Comisión 2</w:t>
                            </w:r>
                          </w:p>
                          <w:bookmarkStart w:id="7" w:name="_Hlk74760662"/>
                          <w:p w14:paraId="0CE85290" w14:textId="06983958" w:rsidR="006A3B19" w:rsidRPr="006A3B19" w:rsidRDefault="006A3B19" w:rsidP="006A3B19">
                            <w:pPr>
                              <w:spacing w:before="80" w:after="40" w:line="240" w:lineRule="auto"/>
                              <w:ind w:firstLine="1701"/>
                              <w:jc w:val="right"/>
                              <w:rPr>
                                <w:rFonts w:eastAsia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rFonts w:eastAsia="Times New Roman" w:cs="Times New Roman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</w:rPr>
                                <w:alias w:val="Author"/>
                                <w:tag w:val=""/>
                                <w:id w:val="-1536112409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6A3B19">
                                  <w:rPr>
                                    <w:rFonts w:eastAsia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  <w:t>Verónica</w:t>
                                </w:r>
                                <w:r w:rsidRPr="006A3B19">
                                  <w:rPr>
                                    <w:rFonts w:eastAsia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Scholz – Legajo </w:t>
                                </w:r>
                                <w:proofErr w:type="spellStart"/>
                                <w:r w:rsidRPr="006A3B19">
                                  <w:rPr>
                                    <w:rFonts w:eastAsia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  <w:t>xxxxxx</w:t>
                                </w:r>
                                <w:proofErr w:type="spellEnd"/>
                                <w:r w:rsidRPr="006A3B19">
                                  <w:rPr>
                                    <w:rFonts w:eastAsia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– Comisión 1</w:t>
                                </w:r>
                                <w:r w:rsidRPr="006A3B19">
                                  <w:rPr>
                                    <w:rFonts w:eastAsia="Times New Roman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  <w:bookmarkEnd w:id="7"/>
                          <w:p w14:paraId="251CBCEE" w14:textId="39EFBFE3" w:rsidR="006A3B19" w:rsidRDefault="006A3B19" w:rsidP="006A3B19">
                            <w:pPr>
                              <w:pStyle w:val="Sinespaciado"/>
                              <w:spacing w:before="80" w:after="40"/>
                              <w:ind w:firstLine="1701"/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bookmarkEnd w:id="4"/>
                          <w:bookmarkEnd w:id="5"/>
                          <w:p w14:paraId="5FFA5845" w14:textId="77777777" w:rsidR="006A3B19" w:rsidRPr="004F7A4F" w:rsidRDefault="006A3B19" w:rsidP="006A3B19">
                            <w:pPr>
                              <w:pStyle w:val="Sinespaciado"/>
                              <w:spacing w:before="80" w:after="40"/>
                              <w:rPr>
                                <w:rFonts w:ascii="Times New Roman" w:hAnsi="Times New Roman" w:cs="Times New Roman"/>
                                <w:caps/>
                                <w:color w:val="5B9BD5" w:themeColor="accent5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1CDEDD46" w14:textId="25B69422" w:rsidR="006A3B19" w:rsidRPr="006A3B19" w:rsidRDefault="006A3B1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CDB8106" w14:textId="3E103803" w:rsidR="006A3B19" w:rsidRDefault="006A3B1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I3008 | INFORMACION Y COMUNICACIONES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EBB648" w14:textId="743F193B" w:rsidR="006A3B19" w:rsidRDefault="006A3B19">
          <w:pPr>
            <w:rPr>
              <w:rFonts w:eastAsiaTheme="minorEastAsia" w:cs="Times New Roman"/>
              <w:sz w:val="28"/>
              <w:szCs w:val="28"/>
            </w:rPr>
          </w:pPr>
          <w:r>
            <w:rPr>
              <w:rFonts w:eastAsiaTheme="minorEastAsia" w:cs="Times New Roman"/>
              <w:sz w:val="28"/>
              <w:szCs w:val="28"/>
            </w:rPr>
            <w:br w:type="page"/>
          </w:r>
        </w:p>
      </w:sdtContent>
    </w:sdt>
    <w:sdt>
      <w:sdtPr>
        <w:rPr>
          <w:lang w:val="es-ES"/>
        </w:rPr>
        <w:id w:val="176187308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2"/>
          <w:szCs w:val="22"/>
          <w:lang w:eastAsia="en-US"/>
        </w:rPr>
      </w:sdtEndPr>
      <w:sdtContent>
        <w:p w14:paraId="1DE80126" w14:textId="25C292B1" w:rsidR="006A3B19" w:rsidRDefault="006A3B19">
          <w:pPr>
            <w:pStyle w:val="TtuloTDC"/>
          </w:pPr>
          <w:r>
            <w:rPr>
              <w:lang w:val="es-ES"/>
            </w:rPr>
            <w:t>Contenido</w:t>
          </w:r>
        </w:p>
        <w:p w14:paraId="632B8502" w14:textId="323E479B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61047" w:history="1">
            <w:r w:rsidRPr="0060611E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79A7E76" w14:textId="2F25BE40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48" w:history="1">
            <w:r w:rsidRPr="0060611E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CF23B74" w14:textId="58369065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49" w:history="1">
            <w:r w:rsidRPr="0060611E">
              <w:rPr>
                <w:rStyle w:val="Hipervnculo"/>
              </w:rPr>
              <w:t>Antecedentes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3DF88AA" w14:textId="317AAE5A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50" w:history="1">
            <w:r w:rsidRPr="0060611E">
              <w:rPr>
                <w:rStyle w:val="Hipervnculo"/>
              </w:rPr>
              <w:t>Análisis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8AAC17" w14:textId="431750F1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51" w:history="1">
            <w:r w:rsidRPr="0060611E">
              <w:rPr>
                <w:rStyle w:val="Hipervnculo"/>
              </w:rPr>
              <w:t>Artículo Académico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F8A906" w14:textId="66704F3B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52" w:history="1">
            <w:r w:rsidRPr="0060611E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1792DA3" w14:textId="089DA418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53" w:history="1">
            <w:r w:rsidRPr="0060611E">
              <w:rPr>
                <w:rStyle w:val="Hipervnculo"/>
              </w:rPr>
              <w:t>Anexo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D89F14" w14:textId="3B89BECD" w:rsidR="006A3B19" w:rsidRDefault="006A3B19">
          <w:pPr>
            <w:pStyle w:val="TDC1"/>
            <w:rPr>
              <w:rFonts w:asciiTheme="minorHAnsi" w:hAnsiTheme="minorHAnsi" w:cstheme="minorBidi"/>
              <w:bCs w:val="0"/>
              <w:sz w:val="22"/>
              <w:szCs w:val="22"/>
              <w:lang w:eastAsia="es-AR"/>
            </w:rPr>
          </w:pPr>
          <w:hyperlink w:anchor="_Toc74761054" w:history="1">
            <w:r w:rsidRPr="0060611E">
              <w:rPr>
                <w:rStyle w:val="Hipervnculo"/>
              </w:rPr>
              <w:t>Bibliografía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_Toc74761054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0D383" w14:textId="2E69A3ED" w:rsidR="006A3B19" w:rsidRDefault="006A3B19">
          <w:r>
            <w:rPr>
              <w:b/>
              <w:bCs/>
              <w:lang w:val="es-ES"/>
            </w:rPr>
            <w:fldChar w:fldCharType="end"/>
          </w:r>
        </w:p>
      </w:sdtContent>
    </w:sdt>
    <w:p w14:paraId="714D5044" w14:textId="3CB05B1F" w:rsidR="001F2CDB" w:rsidRDefault="001F2CDB"/>
    <w:p w14:paraId="54A4918C" w14:textId="4870872B" w:rsidR="006A3B19" w:rsidRDefault="006A3B19"/>
    <w:p w14:paraId="1FFE5843" w14:textId="7B8CBB6F" w:rsidR="006A3B19" w:rsidRDefault="006A3B19"/>
    <w:p w14:paraId="60FF7AE6" w14:textId="441AA0D9" w:rsidR="006A3B19" w:rsidRDefault="006A3B19"/>
    <w:p w14:paraId="4C996FC3" w14:textId="356157E5" w:rsidR="006A3B19" w:rsidRDefault="006A3B19"/>
    <w:p w14:paraId="7275ADAD" w14:textId="2794BC9C" w:rsidR="006A3B19" w:rsidRDefault="006A3B19"/>
    <w:p w14:paraId="101482C5" w14:textId="7DE967B9" w:rsidR="006A3B19" w:rsidRDefault="006A3B19"/>
    <w:p w14:paraId="7E3D3231" w14:textId="0CBB8A19" w:rsidR="006A3B19" w:rsidRDefault="006A3B19"/>
    <w:p w14:paraId="11ADA425" w14:textId="4D7EE8B9" w:rsidR="006A3B19" w:rsidRDefault="006A3B19"/>
    <w:p w14:paraId="18B2CD69" w14:textId="1E7F0492" w:rsidR="006A3B19" w:rsidRDefault="006A3B19"/>
    <w:p w14:paraId="09DF1D33" w14:textId="4F6FDDEE" w:rsidR="006A3B19" w:rsidRDefault="006A3B19"/>
    <w:p w14:paraId="11A1DA57" w14:textId="0941FE25" w:rsidR="006A3B19" w:rsidRDefault="006A3B19"/>
    <w:p w14:paraId="43BF904E" w14:textId="270FE963" w:rsidR="006A3B19" w:rsidRDefault="006A3B19"/>
    <w:p w14:paraId="287947C5" w14:textId="4FC30B03" w:rsidR="006A3B19" w:rsidRDefault="006A3B19"/>
    <w:p w14:paraId="088A3FA5" w14:textId="3AB85058" w:rsidR="006A3B19" w:rsidRDefault="006A3B19"/>
    <w:p w14:paraId="4BEF0AAC" w14:textId="2C7945FF" w:rsidR="006A3B19" w:rsidRDefault="006A3B19"/>
    <w:p w14:paraId="437F157D" w14:textId="7D682BAE" w:rsidR="006A3B19" w:rsidRDefault="006A3B19"/>
    <w:p w14:paraId="2060B929" w14:textId="39AC129E" w:rsidR="006A3B19" w:rsidRDefault="006A3B19"/>
    <w:p w14:paraId="1952FE22" w14:textId="1FEC23D0" w:rsidR="006A3B19" w:rsidRDefault="006A3B19"/>
    <w:p w14:paraId="63837BC6" w14:textId="46305570" w:rsidR="006A3B19" w:rsidRDefault="006A3B19"/>
    <w:sdt>
      <w:sdtPr>
        <w:id w:val="647550663"/>
        <w:docPartObj>
          <w:docPartGallery w:val="Cover Pages"/>
          <w:docPartUnique/>
        </w:docPartObj>
      </w:sdtPr>
      <w:sdtContent>
        <w:p w14:paraId="59CEC013" w14:textId="731316EE" w:rsidR="006A3B19" w:rsidRDefault="006A3B19" w:rsidP="006A3B19">
          <w:pPr>
            <w:spacing w:line="360" w:lineRule="auto"/>
            <w:jc w:val="both"/>
          </w:pPr>
        </w:p>
        <w:p w14:paraId="4AA584EB" w14:textId="77777777" w:rsidR="006A3B19" w:rsidRPr="006A3B19" w:rsidRDefault="006A3B19" w:rsidP="006A3B19">
          <w:pPr>
            <w:pStyle w:val="Ttulo1"/>
          </w:pPr>
          <w:bookmarkStart w:id="8" w:name="_Toc74335764"/>
          <w:bookmarkStart w:id="9" w:name="_Toc74761047"/>
          <w:r w:rsidRPr="006A3B19">
            <w:t>Introducción</w:t>
          </w:r>
          <w:bookmarkEnd w:id="8"/>
          <w:bookmarkEnd w:id="9"/>
          <w:r w:rsidRPr="006A3B19">
            <w:t> </w:t>
          </w:r>
        </w:p>
        <w:p w14:paraId="4AE9117F" w14:textId="77777777" w:rsidR="006A3B19" w:rsidRDefault="006A3B19" w:rsidP="006A3B19">
          <w:pPr>
            <w:spacing w:line="360" w:lineRule="auto"/>
            <w:jc w:val="both"/>
          </w:pPr>
          <w:r>
            <w:t xml:space="preserve">Texto </w:t>
          </w:r>
        </w:p>
        <w:p w14:paraId="6A512514" w14:textId="77777777" w:rsidR="006A3B19" w:rsidRDefault="006A3B19" w:rsidP="006A3B19">
          <w:pPr>
            <w:spacing w:line="360" w:lineRule="auto"/>
            <w:jc w:val="both"/>
          </w:pPr>
        </w:p>
        <w:p w14:paraId="46085857" w14:textId="77777777" w:rsidR="006A3B19" w:rsidRPr="009C1E79" w:rsidRDefault="006A3B19" w:rsidP="006A3B19">
          <w:pPr>
            <w:pStyle w:val="Ttulo1"/>
          </w:pPr>
          <w:bookmarkStart w:id="10" w:name="_Toc74335765"/>
          <w:bookmarkStart w:id="11" w:name="_Toc74761048"/>
          <w:r>
            <w:rPr>
              <w:noProof/>
            </w:rPr>
            <w:t>Objetivos</w:t>
          </w:r>
          <w:bookmarkEnd w:id="10"/>
          <w:bookmarkEnd w:id="11"/>
        </w:p>
        <w:p w14:paraId="4931E6E9" w14:textId="77777777" w:rsidR="006A3B19" w:rsidRDefault="006A3B19" w:rsidP="006A3B19">
          <w:pPr>
            <w:spacing w:line="360" w:lineRule="auto"/>
            <w:jc w:val="both"/>
          </w:pPr>
          <w:r>
            <w:t>Texto</w:t>
          </w:r>
        </w:p>
        <w:p w14:paraId="1A74424D" w14:textId="77777777" w:rsidR="006A3B19" w:rsidRDefault="006A3B19" w:rsidP="006A3B19">
          <w:pPr>
            <w:spacing w:line="360" w:lineRule="auto"/>
            <w:jc w:val="both"/>
          </w:pPr>
        </w:p>
        <w:p w14:paraId="79204CA6" w14:textId="77777777" w:rsidR="006A3B19" w:rsidRPr="006A3B19" w:rsidRDefault="006A3B19" w:rsidP="006A3B19">
          <w:pPr>
            <w:pStyle w:val="Ttulo1"/>
          </w:pPr>
          <w:bookmarkStart w:id="12" w:name="_Toc74335766"/>
          <w:bookmarkStart w:id="13" w:name="_Toc74761049"/>
          <w:r w:rsidRPr="006A3B19">
            <w:t>Antecedentes</w:t>
          </w:r>
          <w:bookmarkEnd w:id="12"/>
          <w:bookmarkEnd w:id="13"/>
        </w:p>
        <w:p w14:paraId="672983D9" w14:textId="77777777" w:rsidR="006A3B19" w:rsidRDefault="006A3B19" w:rsidP="006A3B19">
          <w:pPr>
            <w:spacing w:line="360" w:lineRule="auto"/>
            <w:jc w:val="both"/>
          </w:pPr>
          <w:r>
            <w:t xml:space="preserve">Antecedentes relacionados con el tema de estudio </w:t>
          </w:r>
        </w:p>
        <w:p w14:paraId="3EB40C4D" w14:textId="77777777" w:rsidR="006A3B19" w:rsidRDefault="006A3B19" w:rsidP="006A3B19">
          <w:pPr>
            <w:spacing w:line="360" w:lineRule="auto"/>
            <w:jc w:val="both"/>
          </w:pPr>
        </w:p>
        <w:p w14:paraId="1C48B21A" w14:textId="77777777" w:rsidR="006A3B19" w:rsidRPr="006A3B19" w:rsidRDefault="006A3B19" w:rsidP="006A3B19">
          <w:pPr>
            <w:pStyle w:val="Ttulo1"/>
          </w:pPr>
          <w:bookmarkStart w:id="14" w:name="_Toc74335767"/>
          <w:bookmarkStart w:id="15" w:name="_Toc74761050"/>
          <w:r w:rsidRPr="006A3B19">
            <w:t>Análisis</w:t>
          </w:r>
          <w:bookmarkEnd w:id="14"/>
          <w:bookmarkEnd w:id="15"/>
          <w:r w:rsidRPr="006A3B19">
            <w:t xml:space="preserve"> </w:t>
          </w:r>
        </w:p>
        <w:p w14:paraId="2BE557E7" w14:textId="77777777" w:rsidR="006A3B19" w:rsidRDefault="006A3B19" w:rsidP="006A3B19">
          <w:pPr>
            <w:spacing w:line="360" w:lineRule="auto"/>
            <w:jc w:val="both"/>
          </w:pPr>
          <w:r w:rsidRPr="00484EB7">
            <w:rPr>
              <w:b/>
              <w:bCs/>
            </w:rPr>
            <w:t>Análisis</w:t>
          </w:r>
          <w:r>
            <w:t xml:space="preserve"> del tema bajo estudio. Ejemplos de </w:t>
          </w:r>
          <w:r w:rsidRPr="00484EB7">
            <w:rPr>
              <w:b/>
              <w:bCs/>
            </w:rPr>
            <w:t>Aplicaciones</w:t>
          </w:r>
          <w:r>
            <w:t xml:space="preserve"> actuales.</w:t>
          </w:r>
        </w:p>
        <w:p w14:paraId="186A0533" w14:textId="77777777" w:rsidR="006A3B19" w:rsidRDefault="006A3B19" w:rsidP="006A3B19">
          <w:pPr>
            <w:spacing w:line="360" w:lineRule="auto"/>
            <w:jc w:val="both"/>
          </w:pPr>
          <w:r w:rsidRPr="00484EB7">
            <w:rPr>
              <w:b/>
              <w:bCs/>
            </w:rPr>
            <w:t>Relación</w:t>
          </w:r>
          <w:r>
            <w:t xml:space="preserve"> con los temas vistos en la materia. </w:t>
          </w:r>
        </w:p>
        <w:p w14:paraId="3656258F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drawing>
              <wp:inline distT="0" distB="0" distL="0" distR="0" wp14:anchorId="7309205B" wp14:editId="402B4882">
                <wp:extent cx="5365750" cy="1242060"/>
                <wp:effectExtent l="0" t="0" r="635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65750" cy="1242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1EBA2FC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drawing>
              <wp:inline distT="0" distB="0" distL="0" distR="0" wp14:anchorId="57896A08" wp14:editId="4DB5A7B2">
                <wp:extent cx="5943600" cy="2087880"/>
                <wp:effectExtent l="0" t="0" r="0" b="762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208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D874B0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lastRenderedPageBreak/>
            <w:drawing>
              <wp:inline distT="0" distB="0" distL="0" distR="0" wp14:anchorId="4CEF3BFE" wp14:editId="10DD616F">
                <wp:extent cx="5313680" cy="5141595"/>
                <wp:effectExtent l="0" t="0" r="1270" b="1905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13680" cy="5141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01674A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lastRenderedPageBreak/>
            <w:drawing>
              <wp:inline distT="0" distB="0" distL="0" distR="0" wp14:anchorId="17EF90DB" wp14:editId="5C94D781">
                <wp:extent cx="5408930" cy="4088765"/>
                <wp:effectExtent l="0" t="0" r="1270" b="698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8930" cy="408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EE47C8B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drawing>
              <wp:inline distT="0" distB="0" distL="0" distR="0" wp14:anchorId="551C67AC" wp14:editId="3DC21C55">
                <wp:extent cx="5943600" cy="4459605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445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E8AA150" w14:textId="77777777" w:rsidR="006A3B19" w:rsidRDefault="006A3B19" w:rsidP="006A3B19">
          <w:pPr>
            <w:spacing w:line="360" w:lineRule="auto"/>
            <w:jc w:val="both"/>
          </w:pPr>
          <w:r>
            <w:rPr>
              <w:noProof/>
            </w:rPr>
            <w:lastRenderedPageBreak/>
            <w:drawing>
              <wp:inline distT="0" distB="0" distL="0" distR="0" wp14:anchorId="5AC5C377" wp14:editId="6FE89D38">
                <wp:extent cx="5943600" cy="2682875"/>
                <wp:effectExtent l="0" t="0" r="0" b="3175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268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75B321B" w14:textId="77777777" w:rsidR="006A3B19" w:rsidRPr="009C1E79" w:rsidRDefault="006A3B19" w:rsidP="006A3B19">
          <w:pPr>
            <w:pStyle w:val="Ttulo1"/>
            <w:spacing w:after="240"/>
            <w:rPr>
              <w:rFonts w:cs="Times New Roman"/>
              <w:b w:val="0"/>
              <w:sz w:val="28"/>
              <w:szCs w:val="28"/>
            </w:rPr>
          </w:pPr>
          <w:bookmarkStart w:id="16" w:name="_Toc74335768"/>
          <w:bookmarkStart w:id="17" w:name="_Toc74761051"/>
          <w:r>
            <w:rPr>
              <w:rFonts w:cs="Times New Roman"/>
              <w:b w:val="0"/>
              <w:noProof/>
              <w:sz w:val="28"/>
              <w:szCs w:val="28"/>
            </w:rPr>
            <w:t>Artículo Académico</w:t>
          </w:r>
          <w:bookmarkEnd w:id="16"/>
          <w:bookmarkEnd w:id="17"/>
          <w:r>
            <w:rPr>
              <w:rFonts w:cs="Times New Roman"/>
              <w:b w:val="0"/>
              <w:noProof/>
              <w:sz w:val="28"/>
              <w:szCs w:val="28"/>
            </w:rPr>
            <w:t xml:space="preserve">  </w:t>
          </w:r>
        </w:p>
        <w:p w14:paraId="4FC76BA1" w14:textId="58A13535" w:rsidR="006A3B19" w:rsidRDefault="00CB0042" w:rsidP="006A3B19">
          <w:pPr>
            <w:spacing w:line="360" w:lineRule="auto"/>
            <w:jc w:val="both"/>
          </w:pPr>
          <w:r>
            <w:t>El articulo comienza con una introducción donde el autor descr</w:t>
          </w:r>
          <w:r w:rsidR="00930B3B">
            <w:t>ibe</w:t>
          </w:r>
          <w:r>
            <w:t xml:space="preserve"> </w:t>
          </w:r>
          <w:r w:rsidR="00930B3B">
            <w:t xml:space="preserve">la </w:t>
          </w:r>
          <w:r w:rsidR="00FE53AD">
            <w:t>modulación</w:t>
          </w:r>
          <w:r w:rsidR="00930B3B">
            <w:t xml:space="preserve"> por desplazamiento de </w:t>
          </w:r>
          <w:r w:rsidR="00FE53AD">
            <w:t>fase (</w:t>
          </w:r>
          <w:r w:rsidR="00930B3B">
            <w:t>QPSK)</w:t>
          </w:r>
          <w:r w:rsidR="004D08EE">
            <w:t xml:space="preserve"> y citando a </w:t>
          </w:r>
          <w:r w:rsidR="00FE53AD">
            <w:t>varios</w:t>
          </w:r>
          <w:r w:rsidR="004D08EE">
            <w:t xml:space="preserve"> autores para describir su funcionamiento, ventajas y ejemplos de demoduladores.</w:t>
          </w:r>
        </w:p>
        <w:p w14:paraId="7DD4D7CC" w14:textId="200089C8" w:rsidR="004D08EE" w:rsidRDefault="004D08EE" w:rsidP="006A3B19">
          <w:pPr>
            <w:spacing w:line="360" w:lineRule="auto"/>
            <w:jc w:val="both"/>
          </w:pPr>
          <w:r>
            <w:t xml:space="preserve">A </w:t>
          </w:r>
          <w:r w:rsidR="00FE53AD">
            <w:t>continuación,</w:t>
          </w:r>
          <w:r>
            <w:t xml:space="preserve"> detalla la técnica de modulado QSPK </w:t>
          </w:r>
          <w:r w:rsidR="00FE53AD">
            <w:t>definiendo</w:t>
          </w:r>
          <w:r>
            <w:t xml:space="preserve"> su expresión general y mostrando una tabla donde se indican los valores de las fases de la señal para cada par de bits.</w:t>
          </w:r>
        </w:p>
        <w:p w14:paraId="63A39635" w14:textId="7041E6D5" w:rsidR="00FE53AD" w:rsidRDefault="00FE53AD" w:rsidP="00FE53AD">
          <w:pPr>
            <w:spacing w:line="360" w:lineRule="auto"/>
            <w:jc w:val="both"/>
          </w:pPr>
          <w:r>
            <w:t>Continúa presentando dos técnicas para el diseño de modulador: Síntesis Digital Directa y fases prealmacenadas y continua con la introducción del demodula</w:t>
          </w:r>
          <w:bookmarkStart w:id="18" w:name="_Toc74335769"/>
          <w:bookmarkStart w:id="19" w:name="_Toc74761052"/>
          <w:r>
            <w:t>dor QPSK</w:t>
          </w:r>
          <w:r w:rsidR="00003190">
            <w:t xml:space="preserve"> y </w:t>
          </w:r>
          <w:r w:rsidR="00BE0909">
            <w:t>finaliza</w:t>
          </w:r>
          <w:r w:rsidR="00003190">
            <w:t xml:space="preserve"> con su implementación.</w:t>
          </w:r>
        </w:p>
        <w:p w14:paraId="36EB8D2B" w14:textId="09E7DA9F" w:rsidR="00D02D15" w:rsidRDefault="00003190" w:rsidP="00D02D15">
          <w:pPr>
            <w:spacing w:line="360" w:lineRule="auto"/>
            <w:jc w:val="both"/>
          </w:pPr>
          <w:r>
            <w:t xml:space="preserve">En la sección de resultados, el autor describe la señal modulada QPSK y compara, mediante unas tablas y a través de numerosos </w:t>
          </w:r>
          <w:r w:rsidR="00D02D15">
            <w:t>circuitos</w:t>
          </w:r>
          <w:r>
            <w:t xml:space="preserve"> lógicos las dos técnicas mencionadas anteriormente</w:t>
          </w:r>
          <w:r w:rsidR="00D02D15">
            <w:t xml:space="preserve"> en </w:t>
          </w:r>
          <w:r w:rsidR="00BE0909">
            <w:t>modulación</w:t>
          </w:r>
          <w:r w:rsidR="00D02D15">
            <w:t xml:space="preserve"> y luego analiza el demodulador QPSK</w:t>
          </w:r>
        </w:p>
        <w:p w14:paraId="2C877815" w14:textId="30150F69" w:rsidR="00D02D15" w:rsidRDefault="00BE0909" w:rsidP="00D02D15">
          <w:pPr>
            <w:spacing w:line="360" w:lineRule="auto"/>
            <w:jc w:val="both"/>
          </w:pPr>
          <w:r>
            <w:t>Finalmente,</w:t>
          </w:r>
          <w:r w:rsidR="00D02D15">
            <w:t xml:space="preserve"> el autor concluye que la técnica </w:t>
          </w:r>
          <w:r>
            <w:t xml:space="preserve">de modulación </w:t>
          </w:r>
          <w:r w:rsidR="00D02D15">
            <w:t xml:space="preserve">que emplea memoria es la mas eficiente </w:t>
          </w:r>
          <w:r>
            <w:t>con respecto a la potencia ya que consume menos. También destaca la técnica de modulación basada en la mediana.</w:t>
          </w:r>
        </w:p>
        <w:p w14:paraId="3078EB8A" w14:textId="2C5E40E0" w:rsidR="006A3B19" w:rsidRPr="006A3B19" w:rsidRDefault="006A3B19" w:rsidP="00D02D15">
          <w:pPr>
            <w:pStyle w:val="Ttulo1"/>
          </w:pPr>
          <w:r w:rsidRPr="006A3B19">
            <w:t>Conclusiones</w:t>
          </w:r>
          <w:bookmarkEnd w:id="18"/>
          <w:bookmarkEnd w:id="19"/>
        </w:p>
        <w:p w14:paraId="29F0C93A" w14:textId="77777777" w:rsidR="006A3B19" w:rsidRDefault="006A3B19" w:rsidP="006A3B19">
          <w:pPr>
            <w:spacing w:line="360" w:lineRule="auto"/>
            <w:jc w:val="both"/>
          </w:pPr>
          <w:r>
            <w:t>Texto</w:t>
          </w:r>
        </w:p>
        <w:p w14:paraId="15648379" w14:textId="77777777" w:rsidR="006A3B19" w:rsidRDefault="006A3B19" w:rsidP="006A3B19">
          <w:pPr>
            <w:spacing w:line="360" w:lineRule="auto"/>
            <w:jc w:val="both"/>
          </w:pPr>
        </w:p>
        <w:p w14:paraId="4C1484C9" w14:textId="77777777" w:rsidR="006A3B19" w:rsidRPr="006A3B19" w:rsidRDefault="006A3B19" w:rsidP="006A3B19">
          <w:pPr>
            <w:pStyle w:val="Ttulo1"/>
          </w:pPr>
          <w:bookmarkStart w:id="20" w:name="_Toc74335770"/>
          <w:bookmarkStart w:id="21" w:name="_Toc74761053"/>
          <w:r w:rsidRPr="006A3B19">
            <w:t>Anexo</w:t>
          </w:r>
          <w:bookmarkEnd w:id="20"/>
          <w:bookmarkEnd w:id="21"/>
        </w:p>
        <w:p w14:paraId="4A36E5F7" w14:textId="77777777" w:rsidR="006A3B19" w:rsidRDefault="006A3B19" w:rsidP="006A3B19">
          <w:pPr>
            <w:spacing w:line="360" w:lineRule="auto"/>
            <w:jc w:val="both"/>
          </w:pPr>
          <w:proofErr w:type="spellStart"/>
          <w:r>
            <w:t>Articulo</w:t>
          </w:r>
          <w:proofErr w:type="spellEnd"/>
          <w:r>
            <w:t xml:space="preserve"> del punto 5</w:t>
          </w:r>
        </w:p>
        <w:p w14:paraId="3721117E" w14:textId="77777777" w:rsidR="006A3B19" w:rsidRDefault="006A3B19" w:rsidP="006A3B19">
          <w:pPr>
            <w:spacing w:line="360" w:lineRule="auto"/>
            <w:jc w:val="both"/>
          </w:pPr>
        </w:p>
      </w:sdtContent>
    </w:sdt>
    <w:p w14:paraId="0AA8E3AC" w14:textId="0146B022" w:rsidR="006A3B19" w:rsidRPr="006A3B19" w:rsidRDefault="006A3B19" w:rsidP="006A3B19">
      <w:pPr>
        <w:pStyle w:val="Ttulo1"/>
      </w:pPr>
      <w:bookmarkStart w:id="22" w:name="_Toc74335771"/>
      <w:bookmarkStart w:id="23" w:name="_Toc74761054"/>
      <w:r w:rsidRPr="006A3B19">
        <w:t>Bibliografía</w:t>
      </w:r>
      <w:bookmarkEnd w:id="22"/>
      <w:bookmarkEnd w:id="23"/>
      <w:r w:rsidRPr="006A3B19">
        <w:t xml:space="preserve"> </w:t>
      </w:r>
    </w:p>
    <w:p w14:paraId="182ACC5D" w14:textId="5D5AD914" w:rsidR="006A3B19" w:rsidRDefault="00BE0909" w:rsidP="006A3B19">
      <w:pPr>
        <w:spacing w:line="360" w:lineRule="auto"/>
        <w:jc w:val="both"/>
      </w:pPr>
      <w:r w:rsidRPr="00BE0909">
        <w:t>http://scielo.senescyt.gob.ec/scielo.php?script=sci_arttext&amp;pid=S1390-67122019000200051</w:t>
      </w:r>
    </w:p>
    <w:p w14:paraId="474A82DA" w14:textId="77777777" w:rsidR="006A3B19" w:rsidRDefault="006A3B19"/>
    <w:sectPr w:rsidR="006A3B19" w:rsidSect="006A3B1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19"/>
    <w:rsid w:val="00003190"/>
    <w:rsid w:val="001F2CDB"/>
    <w:rsid w:val="004D08EE"/>
    <w:rsid w:val="006A3B19"/>
    <w:rsid w:val="00930B3B"/>
    <w:rsid w:val="00BE0909"/>
    <w:rsid w:val="00CB0042"/>
    <w:rsid w:val="00D02D15"/>
    <w:rsid w:val="00F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B116"/>
  <w15:chartTrackingRefBased/>
  <w15:docId w15:val="{2FB59921-9EDB-4374-AC98-67665B2A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B19"/>
    <w:pPr>
      <w:keepNext/>
      <w:keepLines/>
      <w:spacing w:before="240" w:after="0" w:line="360" w:lineRule="auto"/>
      <w:jc w:val="both"/>
      <w:outlineLvl w:val="0"/>
    </w:pPr>
    <w:rPr>
      <w:rFonts w:eastAsiaTheme="majorEastAsia" w:cstheme="majorBidi"/>
      <w:b/>
      <w:color w:val="262626" w:themeColor="text1" w:themeTint="D9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3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A3B19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6A3B19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B19"/>
    <w:pPr>
      <w:numPr>
        <w:ilvl w:val="1"/>
      </w:numPr>
    </w:pPr>
    <w:rPr>
      <w:rFonts w:asciiTheme="minorHAnsi" w:eastAsiaTheme="minorEastAsia" w:hAnsiTheme="minorHAnsi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6A3B19"/>
    <w:rPr>
      <w:rFonts w:asciiTheme="minorHAnsi" w:eastAsiaTheme="minorEastAsia" w:hAnsiTheme="minorHAnsi" w:cs="Times New Roman"/>
      <w:color w:val="5A5A5A" w:themeColor="text1" w:themeTint="A5"/>
      <w:spacing w:val="15"/>
      <w:lang w:eastAsia="es-AR"/>
    </w:rPr>
  </w:style>
  <w:style w:type="paragraph" w:styleId="Sinespaciado">
    <w:name w:val="No Spacing"/>
    <w:link w:val="SinespaciadoCar"/>
    <w:uiPriority w:val="1"/>
    <w:qFormat/>
    <w:rsid w:val="006A3B19"/>
    <w:pPr>
      <w:spacing w:after="0" w:line="240" w:lineRule="auto"/>
    </w:pPr>
    <w:rPr>
      <w:rFonts w:asciiTheme="minorHAnsi" w:eastAsiaTheme="minorEastAsia" w:hAnsiTheme="minorHAnsi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A3B19"/>
    <w:rPr>
      <w:rFonts w:asciiTheme="minorHAnsi" w:eastAsiaTheme="minorEastAsia" w:hAnsiTheme="minorHAnsi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6A3B19"/>
    <w:rPr>
      <w:rFonts w:eastAsiaTheme="majorEastAsia" w:cstheme="majorBidi"/>
      <w:b/>
      <w:color w:val="262626" w:themeColor="text1" w:themeTint="D9"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6A3B1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6A3B19"/>
    <w:pPr>
      <w:tabs>
        <w:tab w:val="right" w:leader="dot" w:pos="9350"/>
      </w:tabs>
      <w:spacing w:after="100" w:line="360" w:lineRule="auto"/>
      <w:jc w:val="both"/>
    </w:pPr>
    <w:rPr>
      <w:rFonts w:eastAsiaTheme="minorEastAsia" w:cs="Times New Roman"/>
      <w:bCs/>
      <w:noProof/>
      <w:sz w:val="28"/>
      <w:szCs w:val="24"/>
    </w:rPr>
  </w:style>
  <w:style w:type="character" w:styleId="Hipervnculo">
    <w:name w:val="Hyperlink"/>
    <w:basedOn w:val="Fuentedeprrafopredeter"/>
    <w:uiPriority w:val="99"/>
    <w:unhideWhenUsed/>
    <w:rsid w:val="006A3B1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A3B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A3B19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Trabajo Final | Modulación y utilización de QPSK y QAM (Conversión D/A)  Nicolas Vitek – Legajo xxxxxx – Comisión 2Veronica Scholz – Legajo xxxxxx – Comisión 1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549166-B6AE-4BFA-982B-50F1855D6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I3008 | INFORMACION Y COMUNICACIONES</dc:title>
  <dc:subject/>
  <dc:creator>Verónica Scholz – Legajo xxxxxx – Comisión 1</dc:creator>
  <cp:keywords/>
  <dc:description/>
  <cp:lastModifiedBy>Nicolas Vitek</cp:lastModifiedBy>
  <cp:revision>1</cp:revision>
  <dcterms:created xsi:type="dcterms:W3CDTF">2021-06-16T21:27:00Z</dcterms:created>
  <dcterms:modified xsi:type="dcterms:W3CDTF">2021-06-16T23:16:00Z</dcterms:modified>
</cp:coreProperties>
</file>