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144E" w14:textId="77777777" w:rsidR="008815A8" w:rsidRDefault="008815A8">
      <w:pPr>
        <w:pBdr>
          <w:bottom w:val="single" w:sz="12" w:space="0" w:color="2E75B6"/>
        </w:pBdr>
        <w:shd w:val="clear" w:color="auto" w:fill="1F3864"/>
      </w:pPr>
    </w:p>
    <w:p w14:paraId="0BECFB5C" w14:textId="77777777" w:rsidR="008815A8" w:rsidRDefault="00000000">
      <w:pPr>
        <w:shd w:val="clear" w:color="auto" w:fill="1F3864"/>
        <w:spacing w:before="160" w:after="40"/>
      </w:pPr>
      <w:r>
        <w:rPr>
          <w:color w:val="9DC3E6"/>
        </w:rPr>
        <w:t>Methodology Note</w:t>
      </w:r>
    </w:p>
    <w:p w14:paraId="1D73B830" w14:textId="77777777" w:rsidR="008815A8" w:rsidRDefault="00000000">
      <w:pPr>
        <w:shd w:val="clear" w:color="auto" w:fill="1F3864"/>
        <w:spacing w:after="40"/>
      </w:pPr>
      <w:r>
        <w:rPr>
          <w:b/>
          <w:bCs/>
          <w:color w:val="FFFFFF"/>
          <w:sz w:val="36"/>
          <w:szCs w:val="36"/>
        </w:rPr>
        <w:t>Modelling the Homeownership Wealth Gap at Retirement</w:t>
      </w:r>
    </w:p>
    <w:p w14:paraId="7B6DD304" w14:textId="6DFEF981" w:rsidR="008815A8" w:rsidRDefault="00000000">
      <w:pPr>
        <w:shd w:val="clear" w:color="auto" w:fill="1F3864"/>
        <w:spacing w:before="40" w:after="160"/>
      </w:pPr>
      <w:r>
        <w:rPr>
          <w:color w:val="9DC3E6"/>
          <w:sz w:val="24"/>
          <w:szCs w:val="24"/>
        </w:rPr>
        <w:t>Using the ONS Wealth and Assets Survey (Round 8, 20</w:t>
      </w:r>
      <w:r w:rsidR="007731D2">
        <w:rPr>
          <w:color w:val="9DC3E6"/>
          <w:sz w:val="24"/>
          <w:szCs w:val="24"/>
        </w:rPr>
        <w:t>20</w:t>
      </w:r>
      <w:r>
        <w:rPr>
          <w:color w:val="9DC3E6"/>
          <w:sz w:val="24"/>
          <w:szCs w:val="24"/>
        </w:rPr>
        <w:t>–20</w:t>
      </w:r>
      <w:r w:rsidR="007731D2">
        <w:rPr>
          <w:color w:val="9DC3E6"/>
          <w:sz w:val="24"/>
          <w:szCs w:val="24"/>
        </w:rPr>
        <w:t>22</w:t>
      </w:r>
      <w:r>
        <w:rPr>
          <w:color w:val="9DC3E6"/>
          <w:sz w:val="24"/>
          <w:szCs w:val="24"/>
        </w:rPr>
        <w:t>)</w:t>
      </w:r>
    </w:p>
    <w:p w14:paraId="3F452887" w14:textId="77777777" w:rsidR="008815A8" w:rsidRDefault="008815A8">
      <w:pPr>
        <w:pBdr>
          <w:bottom w:val="single" w:sz="8" w:space="0" w:color="2E75B6"/>
        </w:pBdr>
        <w:shd w:val="clear" w:color="auto" w:fill="1F3864"/>
      </w:pPr>
    </w:p>
    <w:p w14:paraId="5B30A86B" w14:textId="77777777" w:rsidR="008815A8" w:rsidRDefault="008815A8">
      <w:pPr>
        <w:spacing w:before="120" w:after="80" w:line="276" w:lineRule="auto"/>
      </w:pPr>
    </w:p>
    <w:p w14:paraId="74BA07DB" w14:textId="77777777" w:rsidR="008815A8" w:rsidRDefault="00000000">
      <w:pPr>
        <w:pStyle w:val="Heading2"/>
        <w:pBdr>
          <w:bottom w:val="single" w:sz="6" w:space="4" w:color="2E75B6"/>
        </w:pBdr>
      </w:pPr>
      <w:r>
        <w:t>1. Purpose and Research Question</w:t>
      </w:r>
    </w:p>
    <w:p w14:paraId="1FCC477C" w14:textId="73A105BD" w:rsidR="008815A8" w:rsidRDefault="00000000">
      <w:pPr>
        <w:spacing w:before="60" w:after="60" w:line="288" w:lineRule="auto"/>
      </w:pPr>
      <w:r>
        <w:rPr>
          <w:color w:val="000000"/>
        </w:rPr>
        <w:t xml:space="preserve">This note describes the methodology used to estimate the projected retirement wealth gap between households who own their home and those who rent, using microdata from the ONS Wealth and Assets Survey (WAS) Round 8 (fieldwork </w:t>
      </w:r>
      <w:r w:rsidR="007731D2">
        <w:rPr>
          <w:color w:val="000000"/>
        </w:rPr>
        <w:t xml:space="preserve">Apri </w:t>
      </w:r>
      <w:r>
        <w:rPr>
          <w:color w:val="000000"/>
        </w:rPr>
        <w:t>20</w:t>
      </w:r>
      <w:r w:rsidR="007731D2">
        <w:rPr>
          <w:color w:val="000000"/>
        </w:rPr>
        <w:t>20</w:t>
      </w:r>
      <w:r>
        <w:rPr>
          <w:color w:val="000000"/>
        </w:rPr>
        <w:t>–</w:t>
      </w:r>
      <w:r w:rsidR="007731D2">
        <w:rPr>
          <w:color w:val="000000"/>
        </w:rPr>
        <w:t xml:space="preserve">March </w:t>
      </w:r>
      <w:r>
        <w:rPr>
          <w:color w:val="000000"/>
        </w:rPr>
        <w:t>2</w:t>
      </w:r>
      <w:r w:rsidR="007731D2">
        <w:rPr>
          <w:color w:val="000000"/>
        </w:rPr>
        <w:t>2</w:t>
      </w:r>
      <w:r>
        <w:rPr>
          <w:color w:val="000000"/>
        </w:rPr>
        <w:t>). All monetary values are expressed in 2026 prices.</w:t>
      </w:r>
    </w:p>
    <w:p w14:paraId="7ADF1B50" w14:textId="77777777" w:rsidR="008815A8" w:rsidRDefault="00000000">
      <w:pPr>
        <w:spacing w:before="60" w:after="60" w:line="288" w:lineRule="auto"/>
      </w:pPr>
      <w:r>
        <w:rPr>
          <w:color w:val="000000"/>
        </w:rPr>
        <w:t>The central research question is:</w:t>
      </w:r>
    </w:p>
    <w:p w14:paraId="5C27BFE6" w14:textId="77777777" w:rsidR="008815A8" w:rsidRDefault="00000000">
      <w:pPr>
        <w:pBdr>
          <w:left w:val="single" w:sz="12" w:space="8" w:color="2E75B6"/>
        </w:pBdr>
        <w:spacing w:before="120" w:after="120"/>
        <w:ind w:left="720"/>
      </w:pPr>
      <w:r>
        <w:rPr>
          <w:i/>
          <w:iCs/>
          <w:color w:val="1F3864"/>
        </w:rPr>
        <w:t>What is the projected gap in total wealth at retirement between homeowners and lifetime renters in Britain, how large is it, and what are its underlying drivers?</w:t>
      </w:r>
    </w:p>
    <w:p w14:paraId="7BF9D3DC" w14:textId="77777777" w:rsidR="008815A8" w:rsidRDefault="00000000">
      <w:pPr>
        <w:spacing w:before="60" w:after="60" w:line="288" w:lineRule="auto"/>
      </w:pPr>
      <w:r>
        <w:rPr>
          <w:color w:val="000000"/>
        </w:rPr>
        <w:t>The model addresses this by projecting the wealth of 1,261 households aged 30–39 (the critical first-time buyer cohort) from 2026 to State Pension age (67), under a simplified but conservative binary tenure assumption: those who currently own are assumed to continue owning to retirement; those who currently rent are assumed never to own.</w:t>
      </w:r>
    </w:p>
    <w:p w14:paraId="3A41A20C" w14:textId="77777777" w:rsidR="008815A8" w:rsidRDefault="00000000">
      <w:pPr>
        <w:spacing w:before="60" w:after="60" w:line="288" w:lineRule="auto"/>
      </w:pPr>
      <w:r>
        <w:rPr>
          <w:color w:val="000000"/>
        </w:rPr>
        <w:t>The output is a headline wealth gap figure decomposed into three structural channels: property capital gains; the savings advantage from lower long-run housing costs; and the underlying income and endowment differential between the two groups.</w:t>
      </w:r>
    </w:p>
    <w:p w14:paraId="02F27B68" w14:textId="77777777" w:rsidR="008815A8" w:rsidRDefault="00000000">
      <w:pPr>
        <w:pStyle w:val="Heading2"/>
        <w:pBdr>
          <w:bottom w:val="single" w:sz="6" w:space="4" w:color="2E75B6"/>
        </w:pBdr>
      </w:pPr>
      <w:r>
        <w:t>2. Data Sources</w:t>
      </w:r>
    </w:p>
    <w:p w14:paraId="2B74FE7A" w14:textId="77777777" w:rsidR="008815A8" w:rsidRDefault="00000000">
      <w:pPr>
        <w:pStyle w:val="Heading3"/>
      </w:pPr>
      <w:r>
        <w:t>2.1 Wealth and Assets Survey (WAS) Round 8</w:t>
      </w:r>
    </w:p>
    <w:p w14:paraId="425362EB" w14:textId="66CC3489" w:rsidR="008815A8" w:rsidRDefault="00000000">
      <w:pPr>
        <w:spacing w:before="60" w:after="60" w:line="288" w:lineRule="auto"/>
      </w:pPr>
      <w:r>
        <w:rPr>
          <w:color w:val="000000"/>
        </w:rPr>
        <w:t>The WAS is the primary dataset. Round 8 covers the period April 20</w:t>
      </w:r>
      <w:r w:rsidR="007731D2">
        <w:rPr>
          <w:color w:val="000000"/>
        </w:rPr>
        <w:t>20</w:t>
      </w:r>
      <w:r>
        <w:rPr>
          <w:color w:val="000000"/>
        </w:rPr>
        <w:t xml:space="preserve"> to March 202</w:t>
      </w:r>
      <w:r w:rsidR="007731D2">
        <w:rPr>
          <w:color w:val="000000"/>
        </w:rPr>
        <w:t>2</w:t>
      </w:r>
      <w:r>
        <w:rPr>
          <w:color w:val="000000"/>
        </w:rPr>
        <w:t>, with a survey reference midpoint of 20</w:t>
      </w:r>
      <w:r w:rsidR="007731D2">
        <w:rPr>
          <w:color w:val="000000"/>
        </w:rPr>
        <w:t>21</w:t>
      </w:r>
      <w:r>
        <w:rPr>
          <w:color w:val="000000"/>
        </w:rPr>
        <w:t xml:space="preserve"> and a published reference year of 202</w:t>
      </w:r>
      <w:r w:rsidR="007731D2">
        <w:rPr>
          <w:color w:val="000000"/>
        </w:rPr>
        <w:t>2</w:t>
      </w:r>
      <w:r>
        <w:rPr>
          <w:color w:val="000000"/>
        </w:rPr>
        <w:t>. It is the most comprehensive household-level survey of wealth in the United Kingdom, covering 15,128 households (32,271 individuals) across all four wealth components: property, financial, pension and physical.</w:t>
      </w:r>
    </w:p>
    <w:p w14:paraId="14069EA0" w14:textId="77777777" w:rsidR="008815A8" w:rsidRDefault="00000000">
      <w:pPr>
        <w:spacing w:before="60" w:after="60" w:line="288" w:lineRule="auto"/>
      </w:pPr>
      <w:r>
        <w:rPr>
          <w:color w:val="000000"/>
        </w:rPr>
        <w:t>Two files are used:</w:t>
      </w:r>
    </w:p>
    <w:p w14:paraId="5D001E04" w14:textId="77777777" w:rsidR="008815A8" w:rsidRDefault="00000000">
      <w:pPr>
        <w:pStyle w:val="ListParagraph"/>
        <w:numPr>
          <w:ilvl w:val="0"/>
          <w:numId w:val="2"/>
        </w:numPr>
        <w:spacing w:before="40" w:after="40" w:line="276" w:lineRule="auto"/>
      </w:pPr>
      <w:r>
        <w:rPr>
          <w:color w:val="000000"/>
        </w:rPr>
        <w:t>Household file (was_round_8_hhold.tab): wealth components, housing tenure, mortgage details, income, household composition and demographics for the household reference person (HRP).</w:t>
      </w:r>
    </w:p>
    <w:p w14:paraId="688C5AA4" w14:textId="77777777" w:rsidR="008815A8" w:rsidRDefault="00000000">
      <w:pPr>
        <w:pStyle w:val="ListParagraph"/>
        <w:numPr>
          <w:ilvl w:val="0"/>
          <w:numId w:val="2"/>
        </w:numPr>
        <w:spacing w:before="40" w:after="40" w:line="276" w:lineRule="auto"/>
      </w:pPr>
      <w:r>
        <w:rPr>
          <w:color w:val="000000"/>
        </w:rPr>
        <w:t>Person file (was_round_8_person.tab): individual-level pension wealth (totpen_oldr8), age in 5-year bands (DVAge17R8) and the HRP flag (hrp_respr8), which is used to identify the HRP within the person file and merge their 5-year age band onto the household spine.</w:t>
      </w:r>
    </w:p>
    <w:p w14:paraId="6B7E2196" w14:textId="77777777" w:rsidR="008815A8" w:rsidRDefault="008815A8">
      <w:pPr>
        <w:spacing w:before="60" w:after="80" w:line="276" w:lineRule="auto"/>
      </w:pPr>
    </w:p>
    <w:p w14:paraId="60DB79CA" w14:textId="77777777" w:rsidR="008815A8" w:rsidRDefault="00000000">
      <w:pPr>
        <w:spacing w:before="60" w:after="60" w:line="288" w:lineRule="auto"/>
      </w:pPr>
      <w:r>
        <w:rPr>
          <w:color w:val="000000"/>
        </w:rPr>
        <w:t>The following WAS variables are central to the analysis: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560"/>
      </w:tblGrid>
      <w:tr w:rsidR="008815A8" w14:paraId="3CCD838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DC35CA" w14:textId="77777777" w:rsidR="008815A8" w:rsidRDefault="00000000">
            <w:r>
              <w:rPr>
                <w:b/>
                <w:bCs/>
                <w:color w:val="FFFFFF"/>
                <w:sz w:val="20"/>
                <w:szCs w:val="20"/>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086671" w14:textId="77777777" w:rsidR="008815A8" w:rsidRDefault="00000000">
            <w:r>
              <w:rPr>
                <w:b/>
                <w:bCs/>
                <w:color w:val="FFFFFF"/>
                <w:sz w:val="20"/>
                <w:szCs w:val="20"/>
              </w:rPr>
              <w:t>Description</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ED1A4" w14:textId="77777777" w:rsidR="008815A8" w:rsidRDefault="00000000">
            <w:r>
              <w:rPr>
                <w:b/>
                <w:bCs/>
                <w:color w:val="FFFFFF"/>
                <w:sz w:val="20"/>
                <w:szCs w:val="20"/>
              </w:rPr>
              <w:t>Use in model</w:t>
            </w:r>
          </w:p>
        </w:tc>
      </w:tr>
      <w:tr w:rsidR="008815A8" w14:paraId="252A0AA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A58B" w14:textId="77777777" w:rsidR="008815A8" w:rsidRDefault="00000000">
            <w:r>
              <w:rPr>
                <w:rFonts w:ascii="Courier New" w:eastAsia="Courier New" w:hAnsi="Courier New" w:cs="Courier New"/>
                <w:color w:val="000000"/>
                <w:sz w:val="18"/>
                <w:szCs w:val="18"/>
              </w:rPr>
              <w:t>DVTotInc_BHCR8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79FDC" w14:textId="77777777" w:rsidR="008815A8" w:rsidRDefault="00000000">
            <w:r>
              <w:rPr>
                <w:color w:val="000000"/>
                <w:sz w:val="20"/>
                <w:szCs w:val="20"/>
              </w:rPr>
              <w:t>Total net HH income BHC (£/yr)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C9703" w14:textId="77777777" w:rsidR="008815A8" w:rsidRDefault="00000000">
            <w:r>
              <w:rPr>
                <w:color w:val="000000"/>
                <w:sz w:val="20"/>
                <w:szCs w:val="20"/>
              </w:rPr>
              <w:t>Primary income variable; basis for rent ratio and consumption lookup</w:t>
            </w:r>
          </w:p>
        </w:tc>
      </w:tr>
      <w:tr w:rsidR="008815A8" w14:paraId="12E6B8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6B9B3" w14:textId="77777777" w:rsidR="008815A8" w:rsidRDefault="00000000">
            <w:r>
              <w:rPr>
                <w:rFonts w:ascii="Courier New" w:eastAsia="Courier New" w:hAnsi="Courier New" w:cs="Courier New"/>
                <w:color w:val="000000"/>
                <w:sz w:val="18"/>
                <w:szCs w:val="18"/>
              </w:rPr>
              <w:lastRenderedPageBreak/>
              <w:t>HPropWR8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EE17E" w14:textId="77777777" w:rsidR="008815A8" w:rsidRDefault="00000000">
            <w:r>
              <w:rPr>
                <w:color w:val="000000"/>
                <w:sz w:val="20"/>
                <w:szCs w:val="20"/>
              </w:rPr>
              <w:t>Net property wealth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D73F9" w14:textId="77777777" w:rsidR="008815A8" w:rsidRDefault="00000000">
            <w:r>
              <w:rPr>
                <w:color w:val="000000"/>
                <w:sz w:val="20"/>
                <w:szCs w:val="20"/>
              </w:rPr>
              <w:t>Starting property wealth; gross value = HPropWR8 + TotMortR8</w:t>
            </w:r>
          </w:p>
        </w:tc>
      </w:tr>
      <w:tr w:rsidR="008815A8" w14:paraId="5D19B6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983EC" w14:textId="77777777" w:rsidR="008815A8" w:rsidRDefault="00000000">
            <w:r>
              <w:rPr>
                <w:rFonts w:ascii="Courier New" w:eastAsia="Courier New" w:hAnsi="Courier New" w:cs="Courier New"/>
                <w:color w:val="000000"/>
                <w:sz w:val="18"/>
                <w:szCs w:val="18"/>
              </w:rPr>
              <w:t>TotMortR8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D218" w14:textId="77777777" w:rsidR="008815A8" w:rsidRDefault="00000000">
            <w:r>
              <w:rPr>
                <w:color w:val="000000"/>
                <w:sz w:val="20"/>
                <w:szCs w:val="20"/>
              </w:rPr>
              <w:t>Outstanding mortgage balance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6C8FF" w14:textId="77777777" w:rsidR="008815A8" w:rsidRDefault="00000000">
            <w:r>
              <w:rPr>
                <w:color w:val="000000"/>
                <w:sz w:val="20"/>
                <w:szCs w:val="20"/>
              </w:rPr>
              <w:t>Adds back to get gross property value for HPI projection</w:t>
            </w:r>
          </w:p>
        </w:tc>
      </w:tr>
      <w:tr w:rsidR="008815A8" w14:paraId="70F3C3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0B5DF" w14:textId="77777777" w:rsidR="008815A8" w:rsidRDefault="00000000">
            <w:r>
              <w:rPr>
                <w:rFonts w:ascii="Courier New" w:eastAsia="Courier New" w:hAnsi="Courier New" w:cs="Courier New"/>
                <w:color w:val="000000"/>
                <w:sz w:val="18"/>
                <w:szCs w:val="18"/>
              </w:rPr>
              <w:t>MIntRate1R8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0DF2" w14:textId="77777777" w:rsidR="008815A8" w:rsidRDefault="00000000">
            <w:r>
              <w:rPr>
                <w:color w:val="000000"/>
                <w:sz w:val="20"/>
                <w:szCs w:val="20"/>
              </w:rPr>
              <w:t>Recorded mortgage interest rate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9BFE7" w14:textId="77777777" w:rsidR="008815A8" w:rsidRDefault="00000000">
            <w:r>
              <w:rPr>
                <w:color w:val="000000"/>
                <w:sz w:val="20"/>
                <w:szCs w:val="20"/>
              </w:rPr>
              <w:t>Used in annuity payment formula; 5% fallback if missing</w:t>
            </w:r>
          </w:p>
        </w:tc>
      </w:tr>
      <w:tr w:rsidR="008815A8" w14:paraId="3C65CB3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57EC2" w14:textId="77777777" w:rsidR="008815A8" w:rsidRDefault="00000000">
            <w:r>
              <w:rPr>
                <w:rFonts w:ascii="Courier New" w:eastAsia="Courier New" w:hAnsi="Courier New" w:cs="Courier New"/>
                <w:color w:val="000000"/>
                <w:sz w:val="18"/>
                <w:szCs w:val="18"/>
              </w:rPr>
              <w:t>MEndY101R8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CA787" w14:textId="77777777" w:rsidR="008815A8" w:rsidRDefault="00000000">
            <w:r>
              <w:rPr>
                <w:color w:val="000000"/>
                <w:sz w:val="20"/>
                <w:szCs w:val="20"/>
              </w:rPr>
              <w:t>Remaining mortgage term (years)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3B1B8" w14:textId="77777777" w:rsidR="008815A8" w:rsidRDefault="00000000">
            <w:r>
              <w:rPr>
                <w:color w:val="000000"/>
                <w:sz w:val="20"/>
                <w:szCs w:val="20"/>
              </w:rPr>
              <w:t>Used in annuity formula; 25-year fallback if missing</w:t>
            </w:r>
          </w:p>
        </w:tc>
      </w:tr>
      <w:tr w:rsidR="008815A8" w14:paraId="617B2BE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1E1FC" w14:textId="77777777" w:rsidR="008815A8" w:rsidRDefault="00000000">
            <w:r>
              <w:rPr>
                <w:rFonts w:ascii="Courier New" w:eastAsia="Courier New" w:hAnsi="Courier New" w:cs="Courier New"/>
                <w:color w:val="000000"/>
                <w:sz w:val="18"/>
                <w:szCs w:val="18"/>
              </w:rPr>
              <w:t>HFINWR8_SUM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54B2" w14:textId="77777777" w:rsidR="008815A8" w:rsidRDefault="00000000">
            <w:r>
              <w:rPr>
                <w:color w:val="000000"/>
                <w:sz w:val="20"/>
                <w:szCs w:val="20"/>
              </w:rPr>
              <w:t>Net financial wealth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8E377" w14:textId="77777777" w:rsidR="008815A8" w:rsidRDefault="00000000">
            <w:r>
              <w:rPr>
                <w:color w:val="000000"/>
                <w:sz w:val="20"/>
                <w:szCs w:val="20"/>
              </w:rPr>
              <w:t>Starting financial wealth stock</w:t>
            </w:r>
          </w:p>
        </w:tc>
      </w:tr>
      <w:tr w:rsidR="008815A8" w14:paraId="427140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881F" w14:textId="77777777" w:rsidR="008815A8" w:rsidRDefault="00000000">
            <w:r>
              <w:rPr>
                <w:rFonts w:ascii="Courier New" w:eastAsia="Courier New" w:hAnsi="Courier New" w:cs="Courier New"/>
                <w:color w:val="000000"/>
                <w:sz w:val="18"/>
                <w:szCs w:val="18"/>
              </w:rPr>
              <w:t>HphysWR8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2FE7B" w14:textId="77777777" w:rsidR="008815A8" w:rsidRDefault="00000000">
            <w:r>
              <w:rPr>
                <w:color w:val="000000"/>
                <w:sz w:val="20"/>
                <w:szCs w:val="20"/>
              </w:rPr>
              <w:t>Physical wealth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79C5" w14:textId="77777777" w:rsidR="008815A8" w:rsidRDefault="00000000">
            <w:r>
              <w:rPr>
                <w:color w:val="000000"/>
                <w:sz w:val="20"/>
                <w:szCs w:val="20"/>
              </w:rPr>
              <w:t>Starting physical wealth stock</w:t>
            </w:r>
          </w:p>
        </w:tc>
      </w:tr>
      <w:tr w:rsidR="008815A8" w14:paraId="7B2CE9F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CE60" w14:textId="77777777" w:rsidR="008815A8" w:rsidRDefault="00000000">
            <w:r>
              <w:rPr>
                <w:rFonts w:ascii="Courier New" w:eastAsia="Courier New" w:hAnsi="Courier New" w:cs="Courier New"/>
                <w:color w:val="000000"/>
                <w:sz w:val="18"/>
                <w:szCs w:val="18"/>
              </w:rPr>
              <w:t>totpen_oldr8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4EC0D" w14:textId="77777777" w:rsidR="008815A8" w:rsidRDefault="00000000">
            <w:r>
              <w:rPr>
                <w:color w:val="000000"/>
                <w:sz w:val="20"/>
                <w:szCs w:val="20"/>
              </w:rPr>
              <w:t>Individual pension wealth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08AE3" w14:textId="77777777" w:rsidR="008815A8" w:rsidRDefault="00000000">
            <w:r>
              <w:rPr>
                <w:color w:val="000000"/>
                <w:sz w:val="20"/>
                <w:szCs w:val="20"/>
              </w:rPr>
              <w:t>Summed to household level from person file</w:t>
            </w:r>
          </w:p>
        </w:tc>
      </w:tr>
      <w:tr w:rsidR="008815A8" w14:paraId="14B63C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8E88D" w14:textId="77777777" w:rsidR="008815A8" w:rsidRDefault="00000000">
            <w:r>
              <w:rPr>
                <w:rFonts w:ascii="Courier New" w:eastAsia="Courier New" w:hAnsi="Courier New" w:cs="Courier New"/>
                <w:color w:val="000000"/>
                <w:sz w:val="18"/>
                <w:szCs w:val="18"/>
              </w:rPr>
              <w:t>ten1r8_i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E1CB3" w14:textId="77777777" w:rsidR="008815A8" w:rsidRDefault="00000000">
            <w:r>
              <w:rPr>
                <w:color w:val="000000"/>
                <w:sz w:val="20"/>
                <w:szCs w:val="20"/>
              </w:rPr>
              <w:t>Tenure (1–6)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FD0B2" w14:textId="77777777" w:rsidR="008815A8" w:rsidRDefault="00000000">
            <w:r>
              <w:rPr>
                <w:color w:val="000000"/>
                <w:sz w:val="20"/>
                <w:szCs w:val="20"/>
              </w:rPr>
              <w:t>Defines owner / renter binary; drives rent vs mortgage cost</w:t>
            </w:r>
          </w:p>
        </w:tc>
      </w:tr>
      <w:tr w:rsidR="008815A8" w14:paraId="11E095E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8A32C" w14:textId="77777777" w:rsidR="008815A8" w:rsidRDefault="00000000">
            <w:r>
              <w:rPr>
                <w:rFonts w:ascii="Courier New" w:eastAsia="Courier New" w:hAnsi="Courier New" w:cs="Courier New"/>
                <w:color w:val="000000"/>
                <w:sz w:val="18"/>
                <w:szCs w:val="18"/>
              </w:rPr>
              <w:t>HRP_DVAge17R8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8A1B4" w14:textId="77777777" w:rsidR="008815A8" w:rsidRDefault="00000000">
            <w:r>
              <w:rPr>
                <w:color w:val="000000"/>
                <w:sz w:val="20"/>
                <w:szCs w:val="20"/>
              </w:rPr>
              <w:t>HRP age band (7=30–34, 8=35–39)</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0649D" w14:textId="77777777" w:rsidR="008815A8" w:rsidRDefault="00000000">
            <w:r>
              <w:rPr>
                <w:color w:val="000000"/>
                <w:sz w:val="20"/>
                <w:szCs w:val="20"/>
              </w:rPr>
              <w:t>Cohort selection; sets years-to-retirement horizon</w:t>
            </w:r>
          </w:p>
        </w:tc>
      </w:tr>
      <w:tr w:rsidR="008815A8" w14:paraId="7C12A6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49C75" w14:textId="77777777" w:rsidR="008815A8" w:rsidRDefault="00000000">
            <w:r>
              <w:rPr>
                <w:rFonts w:ascii="Courier New" w:eastAsia="Courier New" w:hAnsi="Courier New" w:cs="Courier New"/>
                <w:color w:val="000000"/>
                <w:sz w:val="18"/>
                <w:szCs w:val="18"/>
              </w:rPr>
              <w:t>R8xshhwgt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31BE8" w14:textId="77777777" w:rsidR="008815A8" w:rsidRDefault="00000000">
            <w:r>
              <w:rPr>
                <w:color w:val="000000"/>
                <w:sz w:val="20"/>
                <w:szCs w:val="20"/>
              </w:rPr>
              <w:t>Household survey weight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603B" w14:textId="77777777" w:rsidR="008815A8" w:rsidRDefault="00000000">
            <w:r>
              <w:rPr>
                <w:color w:val="000000"/>
                <w:sz w:val="20"/>
                <w:szCs w:val="20"/>
              </w:rPr>
              <w:t>Applied throughout; all means and totals are weighted</w:t>
            </w:r>
          </w:p>
        </w:tc>
      </w:tr>
    </w:tbl>
    <w:p w14:paraId="727DF82B" w14:textId="77777777" w:rsidR="008815A8" w:rsidRDefault="008815A8">
      <w:pPr>
        <w:spacing w:before="120" w:after="80" w:line="276" w:lineRule="auto"/>
      </w:pPr>
    </w:p>
    <w:p w14:paraId="65A67225" w14:textId="77777777" w:rsidR="008815A8" w:rsidRDefault="00000000">
      <w:pPr>
        <w:pStyle w:val="Heading3"/>
      </w:pPr>
      <w:r>
        <w:t>2.2 External Time Series</w:t>
      </w:r>
    </w:p>
    <w:p w14:paraId="3D75DE44" w14:textId="77777777" w:rsidR="008815A8" w:rsidRDefault="00000000">
      <w:pPr>
        <w:spacing w:before="60" w:after="60" w:line="288" w:lineRule="auto"/>
      </w:pPr>
      <w:r>
        <w:rPr>
          <w:color w:val="000000"/>
        </w:rPr>
        <w:t>Three external ONS/HM Treasury time series are used to uplift WAS 2021 monetary values to 2026 prices and to derive real forward growth rates for the projection:</w:t>
      </w:r>
    </w:p>
    <w:p w14:paraId="6DDCB4F6" w14:textId="77777777" w:rsidR="008815A8" w:rsidRDefault="00000000">
      <w:pPr>
        <w:pStyle w:val="ListParagraph"/>
        <w:numPr>
          <w:ilvl w:val="0"/>
          <w:numId w:val="2"/>
        </w:numPr>
        <w:spacing w:before="40" w:after="40" w:line="276" w:lineRule="auto"/>
      </w:pPr>
      <w:r>
        <w:rPr>
          <w:color w:val="000000"/>
        </w:rPr>
        <w:t>UK Average House Price Index (ONS/Land Registry): annual from 2011 to 2025.</w:t>
      </w:r>
    </w:p>
    <w:p w14:paraId="47172E8A" w14:textId="77777777" w:rsidR="008815A8" w:rsidRDefault="00000000">
      <w:pPr>
        <w:pStyle w:val="ListParagraph"/>
        <w:numPr>
          <w:ilvl w:val="0"/>
          <w:numId w:val="2"/>
        </w:numPr>
        <w:spacing w:before="40" w:after="40" w:line="276" w:lineRule="auto"/>
      </w:pPr>
      <w:r>
        <w:rPr>
          <w:color w:val="000000"/>
        </w:rPr>
        <w:t>Median Household Wealth (ONS WAS aggregate series): biennial from 2009 to 2021.</w:t>
      </w:r>
    </w:p>
    <w:p w14:paraId="5F6130A2" w14:textId="77777777" w:rsidR="008815A8" w:rsidRDefault="00000000">
      <w:pPr>
        <w:pStyle w:val="ListParagraph"/>
        <w:numPr>
          <w:ilvl w:val="0"/>
          <w:numId w:val="2"/>
        </w:numPr>
        <w:spacing w:before="40" w:after="40" w:line="276" w:lineRule="auto"/>
      </w:pPr>
      <w:r>
        <w:rPr>
          <w:color w:val="000000"/>
        </w:rPr>
        <w:t>Disposable Income per Head (ONS): annual from 2009 to 2025.</w:t>
      </w:r>
    </w:p>
    <w:p w14:paraId="2E93A226" w14:textId="77777777" w:rsidR="008815A8" w:rsidRDefault="00000000">
      <w:pPr>
        <w:pStyle w:val="ListParagraph"/>
        <w:numPr>
          <w:ilvl w:val="0"/>
          <w:numId w:val="2"/>
        </w:numPr>
        <w:spacing w:before="40" w:after="40" w:line="276" w:lineRule="auto"/>
      </w:pPr>
      <w:r>
        <w:rPr>
          <w:color w:val="000000"/>
        </w:rPr>
        <w:t>CPIH All-Items Index (ONS, 2015=100): annual from 1988 to 2025. Used to deflate all three series to real values before computing growth rates.</w:t>
      </w:r>
    </w:p>
    <w:p w14:paraId="70C069D6" w14:textId="77777777" w:rsidR="008815A8" w:rsidRDefault="00000000">
      <w:pPr>
        <w:spacing w:before="60" w:after="60" w:line="288" w:lineRule="auto"/>
      </w:pPr>
      <w:r>
        <w:rPr>
          <w:color w:val="000000"/>
        </w:rPr>
        <w:t>For each series, any gaps in the annual sequence are filled by fitting a linear regression on the observed data and predicting the missing years — matching the method in the originating codebase. The 2026 extrapolation uses the same fitted regression line.</w:t>
      </w:r>
    </w:p>
    <w:p w14:paraId="20A93560" w14:textId="77777777" w:rsidR="008815A8" w:rsidRDefault="00000000">
      <w:pPr>
        <w:pStyle w:val="Heading2"/>
        <w:pBdr>
          <w:bottom w:val="single" w:sz="6" w:space="4" w:color="2E75B6"/>
        </w:pBdr>
      </w:pPr>
      <w:r>
        <w:t>3. Cohort Definition and Binary Tenure Assumption</w:t>
      </w:r>
    </w:p>
    <w:p w14:paraId="16715674" w14:textId="77777777" w:rsidR="008815A8" w:rsidRDefault="00000000">
      <w:pPr>
        <w:spacing w:before="60" w:after="60" w:line="288" w:lineRule="auto"/>
      </w:pPr>
      <w:r>
        <w:rPr>
          <w:color w:val="000000"/>
        </w:rPr>
        <w:t>The analytical cohort is defined as households whose household reference person (HRP) falls in WAS age bands 7 (30–34) or 8 (35–39) — the age groups centred around the current UK median first-time buyer age of 33–34. This yields 1,261 households: 841 owners (66.7%) and 420 renters (33.3%).</w:t>
      </w:r>
    </w:p>
    <w:p w14:paraId="150E6AEC" w14:textId="77777777" w:rsidR="008815A8" w:rsidRDefault="00000000">
      <w:pPr>
        <w:spacing w:before="60" w:after="60" w:line="288" w:lineRule="auto"/>
      </w:pPr>
      <w:r>
        <w:rPr>
          <w:color w:val="000000"/>
        </w:rPr>
        <w:t>A simplified binary tenure assumption is applied:</w:t>
      </w:r>
    </w:p>
    <w:p w14:paraId="65289DD9" w14:textId="77777777" w:rsidR="008815A8" w:rsidRDefault="00000000">
      <w:pPr>
        <w:pStyle w:val="ListParagraph"/>
        <w:numPr>
          <w:ilvl w:val="0"/>
          <w:numId w:val="2"/>
        </w:numPr>
        <w:spacing w:before="40" w:after="40" w:line="276" w:lineRule="auto"/>
      </w:pPr>
      <w:r>
        <w:rPr>
          <w:color w:val="000000"/>
        </w:rPr>
        <w:t>Owners (ten1r8_i ∈ {1, 2, 3}): assumed to hold homeownership continuously to retirement at age 67.</w:t>
      </w:r>
    </w:p>
    <w:p w14:paraId="623C7DEC" w14:textId="77777777" w:rsidR="008815A8" w:rsidRDefault="00000000">
      <w:pPr>
        <w:pStyle w:val="ListParagraph"/>
        <w:numPr>
          <w:ilvl w:val="0"/>
          <w:numId w:val="2"/>
        </w:numPr>
        <w:spacing w:before="40" w:after="40" w:line="276" w:lineRule="auto"/>
      </w:pPr>
      <w:r>
        <w:rPr>
          <w:color w:val="000000"/>
        </w:rPr>
        <w:t>Renters (ten1r8_i ∈ {4, 5, 6}): assumed never to purchase. Private renters account for the majority; social renters are included at a lower rent ratio.</w:t>
      </w:r>
    </w:p>
    <w:p w14:paraId="45B7BCBF" w14:textId="77777777" w:rsidR="008815A8" w:rsidRDefault="00000000">
      <w:pPr>
        <w:spacing w:before="60" w:after="60" w:line="288" w:lineRule="auto"/>
      </w:pPr>
      <w:r>
        <w:rPr>
          <w:color w:val="000000"/>
        </w:rPr>
        <w:t>This is an intentionally conservative framing designed to illustrate the maximum structural polarisation. It does not predict individual outcomes but rather compares the trajectories of two representative groups given their current position at the critical point of housing ladder entry.</w:t>
      </w:r>
    </w:p>
    <w:p w14:paraId="34D0C873" w14:textId="77777777" w:rsidR="008815A8" w:rsidRDefault="00000000">
      <w:pPr>
        <w:spacing w:before="60" w:after="60" w:line="288" w:lineRule="auto"/>
      </w:pPr>
      <w:r>
        <w:rPr>
          <w:color w:val="000000"/>
        </w:rPr>
        <w:lastRenderedPageBreak/>
        <w:t>Because the WAS age bands span five years, the projection horizon is defined using each band’s midpoint age: band 7 households have 35 years to retirement (67 − 32); band 8 households have 30 years (67 − 37). Individual household projections use the relevant midpoint, so the model is not uniform across the cohort.</w:t>
      </w:r>
    </w:p>
    <w:p w14:paraId="48A6AE2E" w14:textId="77777777" w:rsidR="008815A8" w:rsidRDefault="00000000">
      <w:pPr>
        <w:pStyle w:val="Heading2"/>
        <w:pBdr>
          <w:bottom w:val="single" w:sz="6" w:space="4" w:color="2E75B6"/>
        </w:pBdr>
      </w:pPr>
      <w:r>
        <w:t>4. Uplifting WAS Values to 2026 Prices</w:t>
      </w:r>
    </w:p>
    <w:p w14:paraId="3D7502B6" w14:textId="77777777" w:rsidR="008815A8" w:rsidRDefault="00000000">
      <w:pPr>
        <w:spacing w:before="60" w:after="60" w:line="288" w:lineRule="auto"/>
      </w:pPr>
      <w:r>
        <w:rPr>
          <w:color w:val="000000"/>
        </w:rPr>
        <w:t>The WAS Round 8 reference year is 2021. The model start year is 2026. All monetary variables are uplifted using asset-class-specific multipliers derived from the external time series, so that the starting-point values reflect 2026 prices rather than 2021 survey values: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1960"/>
      </w:tblGrid>
      <w:tr w:rsidR="008815A8" w14:paraId="1E8F4CDC"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F5DE74" w14:textId="77777777" w:rsidR="008815A8" w:rsidRDefault="00000000">
            <w:r>
              <w:rPr>
                <w:b/>
                <w:bCs/>
                <w:color w:val="FFFFFF"/>
                <w:sz w:val="20"/>
                <w:szCs w:val="20"/>
              </w:rPr>
              <w:t>Variable group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63D5EB" w14:textId="77777777" w:rsidR="008815A8" w:rsidRDefault="00000000">
            <w:r>
              <w:rPr>
                <w:b/>
                <w:bCs/>
                <w:color w:val="FFFFFF"/>
                <w:sz w:val="20"/>
                <w:szCs w:val="20"/>
              </w:rPr>
              <w:t>Multiplier (2021→2026)</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1260AE" w14:textId="77777777" w:rsidR="008815A8" w:rsidRDefault="00000000">
            <w:r>
              <w:rPr>
                <w:b/>
                <w:bCs/>
                <w:color w:val="FFFFFF"/>
                <w:sz w:val="20"/>
                <w:szCs w:val="20"/>
              </w:rPr>
              <w:t>% increase</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13B18D" w14:textId="77777777" w:rsidR="008815A8" w:rsidRDefault="00000000">
            <w:r>
              <w:rPr>
                <w:b/>
                <w:bCs/>
                <w:color w:val="FFFFFF"/>
                <w:sz w:val="20"/>
                <w:szCs w:val="20"/>
              </w:rPr>
              <w:t>Source series</w:t>
            </w:r>
          </w:p>
        </w:tc>
      </w:tr>
      <w:tr w:rsidR="008815A8" w14:paraId="73A48F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45734" w14:textId="77777777" w:rsidR="008815A8" w:rsidRDefault="00000000">
            <w:r>
              <w:rPr>
                <w:sz w:val="20"/>
                <w:szCs w:val="20"/>
              </w:rPr>
              <w:t>Property values &amp; mortgage balances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26A70" w14:textId="77777777" w:rsidR="008815A8" w:rsidRDefault="00000000">
            <w:pPr>
              <w:jc w:val="center"/>
            </w:pPr>
            <w:r>
              <w:rPr>
                <w:b/>
                <w:bCs/>
                <w:sz w:val="20"/>
                <w:szCs w:val="20"/>
              </w:rPr>
              <w:t>×1.1844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A30F7" w14:textId="77777777" w:rsidR="008815A8" w:rsidRDefault="00000000">
            <w:pPr>
              <w:jc w:val="center"/>
            </w:pPr>
            <w:r>
              <w:rPr>
                <w:sz w:val="20"/>
                <w:szCs w:val="20"/>
              </w:rPr>
              <w:t>+18.4%</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54B3F" w14:textId="77777777" w:rsidR="008815A8" w:rsidRDefault="00000000">
            <w:r>
              <w:rPr>
                <w:sz w:val="20"/>
                <w:szCs w:val="20"/>
              </w:rPr>
              <w:t>UK HPI</w:t>
            </w:r>
          </w:p>
        </w:tc>
      </w:tr>
      <w:tr w:rsidR="008815A8" w14:paraId="4227DE0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A6BF9" w14:textId="77777777" w:rsidR="008815A8" w:rsidRDefault="00000000">
            <w:r>
              <w:rPr>
                <w:sz w:val="20"/>
                <w:szCs w:val="20"/>
              </w:rPr>
              <w:t>Financial, pension &amp; physical wealth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CF91C" w14:textId="77777777" w:rsidR="008815A8" w:rsidRDefault="00000000">
            <w:pPr>
              <w:jc w:val="center"/>
            </w:pPr>
            <w:r>
              <w:rPr>
                <w:b/>
                <w:bCs/>
                <w:sz w:val="20"/>
                <w:szCs w:val="20"/>
              </w:rPr>
              <w:t>×1.1156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D9637" w14:textId="77777777" w:rsidR="008815A8" w:rsidRDefault="00000000">
            <w:pPr>
              <w:jc w:val="center"/>
            </w:pPr>
            <w:r>
              <w:rPr>
                <w:sz w:val="20"/>
                <w:szCs w:val="20"/>
              </w:rPr>
              <w:t>+11.6%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89D50" w14:textId="77777777" w:rsidR="008815A8" w:rsidRDefault="00000000">
            <w:r>
              <w:rPr>
                <w:sz w:val="20"/>
                <w:szCs w:val="20"/>
              </w:rPr>
              <w:t>Median household wealth</w:t>
            </w:r>
          </w:p>
        </w:tc>
      </w:tr>
      <w:tr w:rsidR="008815A8" w14:paraId="28B970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D95D4" w14:textId="77777777" w:rsidR="008815A8" w:rsidRDefault="00000000">
            <w:r>
              <w:rPr>
                <w:sz w:val="20"/>
                <w:szCs w:val="20"/>
              </w:rPr>
              <w:t>Income &amp; rent (DVTotInc_BHCR8)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98CFB" w14:textId="77777777" w:rsidR="008815A8" w:rsidRDefault="00000000">
            <w:pPr>
              <w:jc w:val="center"/>
            </w:pPr>
            <w:r>
              <w:rPr>
                <w:b/>
                <w:bCs/>
                <w:sz w:val="20"/>
                <w:szCs w:val="20"/>
              </w:rPr>
              <w:t>×1.1959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23E0B" w14:textId="77777777" w:rsidR="008815A8" w:rsidRDefault="00000000">
            <w:pPr>
              <w:jc w:val="center"/>
            </w:pPr>
            <w:r>
              <w:rPr>
                <w:sz w:val="20"/>
                <w:szCs w:val="20"/>
              </w:rPr>
              <w:t>+19.6%</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30311" w14:textId="77777777" w:rsidR="008815A8" w:rsidRDefault="00000000">
            <w:r>
              <w:rPr>
                <w:sz w:val="20"/>
                <w:szCs w:val="20"/>
              </w:rPr>
              <w:t>Disposable income per head</w:t>
            </w:r>
          </w:p>
        </w:tc>
      </w:tr>
    </w:tbl>
    <w:p w14:paraId="6D124A3D" w14:textId="77777777" w:rsidR="008815A8" w:rsidRDefault="008815A8">
      <w:pPr>
        <w:spacing w:before="100" w:after="80" w:line="276" w:lineRule="auto"/>
      </w:pPr>
    </w:p>
    <w:p w14:paraId="71B6EDB5" w14:textId="77777777" w:rsidR="008815A8" w:rsidRDefault="00000000">
      <w:pPr>
        <w:spacing w:before="60" w:after="60" w:line="288" w:lineRule="auto"/>
      </w:pPr>
      <w:r>
        <w:rPr>
          <w:color w:val="000000"/>
        </w:rPr>
        <w:t>Consumption costs (from the ONS Living Costs and Food Survey, LCF) are sourced from 2025 data and require no uplift. The consumption lookup thresholds are also expressed in 2025 prices and applied directly to the uplifted 2026 income values; the slight mismatch (2025 vs 2026 prices) is negligible given the low rate of real income growth over the period.</w:t>
      </w:r>
    </w:p>
    <w:p w14:paraId="11CA3A29" w14:textId="77777777" w:rsidR="008815A8" w:rsidRDefault="00000000">
      <w:pPr>
        <w:pStyle w:val="Heading2"/>
        <w:pBdr>
          <w:bottom w:val="single" w:sz="6" w:space="4" w:color="2E75B6"/>
        </w:pBdr>
      </w:pPr>
      <w:r>
        <w:t>5. Income and Consumption</w:t>
      </w:r>
    </w:p>
    <w:p w14:paraId="1625DEAF" w14:textId="77777777" w:rsidR="008815A8" w:rsidRDefault="00000000">
      <w:pPr>
        <w:pStyle w:val="Heading3"/>
      </w:pPr>
      <w:r>
        <w:t>5.1 Income variable</w:t>
      </w:r>
    </w:p>
    <w:p w14:paraId="45DCA45C" w14:textId="77777777" w:rsidR="008815A8" w:rsidRDefault="00000000">
      <w:pPr>
        <w:spacing w:before="60" w:after="60" w:line="288" w:lineRule="auto"/>
      </w:pPr>
      <w:r>
        <w:rPr>
          <w:color w:val="000000"/>
        </w:rPr>
        <w:t>The income variable used throughout is DVTotInc_BHCR8: total net household income before housing costs, expressed in annual pounds. This is the non-equivalised measure — it reflects actual household cash income without adjustment for household size. It equals HHNetIncMthR8 × 12 to within rounding. The choice of non-equivalised income is deliberate: it most directly represents the resources available to the household to meet housing costs and generate savings.</w:t>
      </w:r>
    </w:p>
    <w:p w14:paraId="3C9A2D85" w14:textId="77777777" w:rsidR="008815A8" w:rsidRDefault="00000000">
      <w:pPr>
        <w:spacing w:before="60" w:after="60" w:line="288" w:lineRule="auto"/>
      </w:pPr>
      <w:r>
        <w:rPr>
          <w:color w:val="000000"/>
        </w:rPr>
        <w:t>In 2026 prices, weighted mean net household income is £55,149 for owners and £40,231 for renters in the cohort — an income advantage for owners of approximately £15,000 per year before any housing cost difference is applied.</w:t>
      </w:r>
    </w:p>
    <w:p w14:paraId="01D127D4" w14:textId="77777777" w:rsidR="008815A8" w:rsidRDefault="00000000">
      <w:pPr>
        <w:pStyle w:val="Heading3"/>
      </w:pPr>
      <w:r>
        <w:t>5.2 Consumption costs</w:t>
      </w:r>
    </w:p>
    <w:p w14:paraId="4FF1A1B1" w14:textId="77777777" w:rsidR="008815A8" w:rsidRDefault="00000000">
      <w:pPr>
        <w:spacing w:before="60" w:after="60" w:line="288" w:lineRule="auto"/>
      </w:pPr>
      <w:r>
        <w:rPr>
          <w:color w:val="000000"/>
        </w:rPr>
        <w:t>Non-housing consumption costs are taken from the ONS Living Costs and Food Survey (LCF), which provides average weekly household expenditure by income decile. The model uses tenure-specific consumption values: owners and renters in the same income decile have different non-housing spending patterns, reflecting differences in maintenance, contents insurance and other tenure-related costs.</w:t>
      </w:r>
    </w:p>
    <w:p w14:paraId="03D4ED8E" w14:textId="77777777" w:rsidR="008815A8" w:rsidRDefault="00000000">
      <w:pPr>
        <w:spacing w:before="60" w:after="60" w:line="288" w:lineRule="auto"/>
      </w:pPr>
      <w:r>
        <w:rPr>
          <w:color w:val="000000"/>
        </w:rPr>
        <w:t>Each household is assigned to an income decile by comparing its 2026 uplifted income against the LCF annual income thresholds (weekly boundary × 52). The tenure-appropriate consumption value for that decile is then applied. Consumption is assumed to grow at 3% per annum in real terms over the projection horizon, reflecting the empirical tendency for living costs to rise modestly faster than general CPI over the long run.</w:t>
      </w:r>
    </w:p>
    <w:p w14:paraId="1AAA1A6F" w14:textId="77777777" w:rsidR="008815A8" w:rsidRDefault="00000000">
      <w:pPr>
        <w:pStyle w:val="Heading2"/>
        <w:pBdr>
          <w:bottom w:val="single" w:sz="6" w:space="4" w:color="2E75B6"/>
        </w:pBdr>
      </w:pPr>
      <w:r>
        <w:lastRenderedPageBreak/>
        <w:t>6. Housing Costs</w:t>
      </w:r>
    </w:p>
    <w:p w14:paraId="0AC4D07F" w14:textId="77777777" w:rsidR="008815A8" w:rsidRDefault="00000000">
      <w:pPr>
        <w:pStyle w:val="Heading3"/>
      </w:pPr>
      <w:r>
        <w:t>6.1 Mortgage payments (owners)</w:t>
      </w:r>
    </w:p>
    <w:p w14:paraId="3B7F4625" w14:textId="77777777" w:rsidR="008815A8" w:rsidRDefault="00000000">
      <w:pPr>
        <w:spacing w:before="60" w:after="60" w:line="288" w:lineRule="auto"/>
      </w:pPr>
      <w:r>
        <w:rPr>
          <w:color w:val="000000"/>
        </w:rPr>
        <w:t>For households with an outstanding mortgage, the annual mortgage repayment is calculated using the standard annuity formula:</w:t>
      </w:r>
    </w:p>
    <w:p w14:paraId="1CB2C126" w14:textId="77777777" w:rsidR="008815A8" w:rsidRDefault="00000000">
      <w:pPr>
        <w:spacing w:before="100" w:after="100"/>
        <w:ind w:left="720"/>
      </w:pPr>
      <w:r>
        <w:rPr>
          <w:rFonts w:ascii="Courier New" w:eastAsia="Courier New" w:hAnsi="Courier New" w:cs="Courier New"/>
          <w:color w:val="1F3864"/>
        </w:rPr>
        <w:t>Annual payment = P × rₘ × (1 + rₘ)ⁿ / ((1 + rₘ)ⁿ − 1) × 12</w:t>
      </w:r>
    </w:p>
    <w:p w14:paraId="10A8A221" w14:textId="77777777" w:rsidR="008815A8" w:rsidRDefault="00000000">
      <w:pPr>
        <w:spacing w:before="60" w:after="60" w:line="288" w:lineRule="auto"/>
      </w:pPr>
      <w:r>
        <w:rPr>
          <w:color w:val="000000"/>
        </w:rPr>
        <w:t>where P is the outstanding mortgage balance (TotMortR8, uplifted to 2026 prices), rₘ is the monthly interest rate (MIntRate1R8 / 12, with a 5% fallback where the recorded rate is missing or implausible), and n is the total number of remaining monthly payments. The remaining term is taken from MEndY101R8 where directly recorded by the survey respondent; for the approximately 97% of mortgaged households where this is not available, a standard 25-year remaining term is assumed, which is consistent with the cohort’s age and typical first-time buyer mortgage terms.</w:t>
      </w:r>
    </w:p>
    <w:p w14:paraId="30607EDE" w14:textId="77777777" w:rsidR="008815A8" w:rsidRDefault="00000000">
      <w:pPr>
        <w:spacing w:before="60" w:after="60" w:line="288" w:lineRule="auto"/>
      </w:pPr>
      <w:r>
        <w:rPr>
          <w:color w:val="000000"/>
        </w:rPr>
        <w:t>Where the computed annual payment falls below £6,000 — typically indicating a nearly-paid-off mortgage with a very small remaining balance — it is replaced by the ONS Annex Table 2.3 regional average: £16,484 per year in London (GORR8 = 7) and £10,868 per year elsewhere (both × 52 weeks). This prevents near-zero mortgage costs from artificially inflating owner surpluses for a small number of households.</w:t>
      </w:r>
    </w:p>
    <w:p w14:paraId="00EFCAF1" w14:textId="77777777" w:rsidR="008815A8" w:rsidRDefault="00000000">
      <w:pPr>
        <w:spacing w:before="60" w:after="60" w:line="288" w:lineRule="auto"/>
      </w:pPr>
      <w:r>
        <w:rPr>
          <w:color w:val="000000"/>
        </w:rPr>
        <w:t>The mortgage is assumed to be fully repaid by the end of its term. For the years after payoff, the owner’s housing cost drops to zero, and the freed mortgage payment is redirected into financial savings and pension contributions.</w:t>
      </w:r>
    </w:p>
    <w:p w14:paraId="0A492D30" w14:textId="77777777" w:rsidR="008815A8" w:rsidRDefault="00000000">
      <w:pPr>
        <w:pStyle w:val="Heading3"/>
      </w:pPr>
      <w:r>
        <w:t>6.2 Rent payments (renters)</w:t>
      </w:r>
    </w:p>
    <w:p w14:paraId="34572F4E" w14:textId="77777777" w:rsidR="008815A8" w:rsidRDefault="00000000">
      <w:pPr>
        <w:spacing w:before="60" w:after="60" w:line="288" w:lineRule="auto"/>
      </w:pPr>
      <w:r>
        <w:rPr>
          <w:color w:val="000000"/>
        </w:rPr>
        <w:t>Annual rent is estimated as a fixed proportion of the household’s gross income before housing costs (DVTotInc_BHCR8), following ONS Annex Table 2.5 tenure ratios for 2023–24:</w:t>
      </w:r>
    </w:p>
    <w:p w14:paraId="0FBE9067" w14:textId="77777777" w:rsidR="008815A8" w:rsidRDefault="00000000">
      <w:pPr>
        <w:pStyle w:val="ListParagraph"/>
        <w:numPr>
          <w:ilvl w:val="0"/>
          <w:numId w:val="2"/>
        </w:numPr>
        <w:spacing w:before="40" w:after="40" w:line="276" w:lineRule="auto"/>
      </w:pPr>
      <w:r>
        <w:rPr>
          <w:color w:val="000000"/>
        </w:rPr>
        <w:t>Private renters: 34% of gross household income.</w:t>
      </w:r>
    </w:p>
    <w:p w14:paraId="1CB67F12" w14:textId="77777777" w:rsidR="008815A8" w:rsidRDefault="00000000">
      <w:pPr>
        <w:pStyle w:val="ListParagraph"/>
        <w:numPr>
          <w:ilvl w:val="0"/>
          <w:numId w:val="2"/>
        </w:numPr>
        <w:spacing w:before="40" w:after="40" w:line="276" w:lineRule="auto"/>
      </w:pPr>
      <w:r>
        <w:rPr>
          <w:color w:val="000000"/>
        </w:rPr>
        <w:t>Social renters: 28% of gross household income.</w:t>
      </w:r>
    </w:p>
    <w:p w14:paraId="2035A7DA" w14:textId="77777777" w:rsidR="008815A8" w:rsidRDefault="00000000">
      <w:pPr>
        <w:spacing w:before="60" w:after="60" w:line="288" w:lineRule="auto"/>
      </w:pPr>
      <w:r>
        <w:rPr>
          <w:color w:val="000000"/>
        </w:rPr>
        <w:t>Rent is modelled as a fixed percentage of income throughout the projection. Since income grows at the real income growth rate (0.47% per year), rent grows proportionally — preserving the ONS-calibrated income share over the entire horizon. This is the correct interpretation of a stable rent-to-income relationship: the absolute rent burden rises with income, but the share of income spent on rent remains constant.</w:t>
      </w:r>
    </w:p>
    <w:p w14:paraId="45750AE8" w14:textId="77777777" w:rsidR="008815A8" w:rsidRDefault="00000000">
      <w:pPr>
        <w:pStyle w:val="Heading2"/>
        <w:pBdr>
          <w:bottom w:val="single" w:sz="6" w:space="4" w:color="2E75B6"/>
        </w:pBdr>
      </w:pPr>
      <w:r>
        <w:t>7. Projection Engine: Year-by-Year Time Series</w:t>
      </w:r>
    </w:p>
    <w:p w14:paraId="36304B06" w14:textId="77777777" w:rsidR="008815A8" w:rsidRDefault="00000000">
      <w:pPr>
        <w:spacing w:before="60" w:after="60" w:line="288" w:lineRule="auto"/>
      </w:pPr>
      <w:r>
        <w:rPr>
          <w:color w:val="000000"/>
        </w:rPr>
        <w:t>The core projection runs a year-by-year loop for each household from 2026 to their individual retirement year. This approach was adopted in preference to a closed-form annuity approximation because income, consumption, rent and housing costs all grow at different real rates, making the single-rate FV annuity formula inaccurate over a 30-year horizon.</w:t>
      </w:r>
    </w:p>
    <w:p w14:paraId="75BAF427" w14:textId="77777777" w:rsidR="008815A8" w:rsidRDefault="00000000">
      <w:pPr>
        <w:pStyle w:val="Heading3"/>
      </w:pPr>
      <w:r>
        <w:t>7.1 Annual surplus calculation</w:t>
      </w:r>
    </w:p>
    <w:p w14:paraId="2035673E" w14:textId="77777777" w:rsidR="008815A8" w:rsidRDefault="00000000">
      <w:pPr>
        <w:spacing w:before="60" w:after="60" w:line="288" w:lineRule="auto"/>
      </w:pPr>
      <w:r>
        <w:rPr>
          <w:color w:val="000000"/>
        </w:rPr>
        <w:t>In each projection year t, the investable surplus for household i is:</w:t>
      </w:r>
    </w:p>
    <w:p w14:paraId="3BC67EBB" w14:textId="77777777" w:rsidR="008815A8" w:rsidRDefault="00000000">
      <w:pPr>
        <w:spacing w:before="100" w:after="100"/>
        <w:ind w:left="720"/>
      </w:pPr>
      <w:r>
        <w:rPr>
          <w:rFonts w:ascii="Courier New" w:eastAsia="Courier New" w:hAnsi="Courier New" w:cs="Courier New"/>
          <w:color w:val="1F3864"/>
          <w:sz w:val="20"/>
          <w:szCs w:val="20"/>
        </w:rPr>
        <w:t>surplus(t) = max[ income₀ × (1 + gᴵⁿᶜ)ᵗ − cons₀ × (1 + gᶜᵒⁿˢ)ᵗ − housing_cost(t), 0 ]</w:t>
      </w:r>
    </w:p>
    <w:p w14:paraId="48F8912B" w14:textId="77777777" w:rsidR="008815A8" w:rsidRDefault="00000000">
      <w:pPr>
        <w:spacing w:before="60" w:after="60" w:line="288" w:lineRule="auto"/>
      </w:pPr>
      <w:r>
        <w:rPr>
          <w:color w:val="000000"/>
        </w:rPr>
        <w:t>where income₀ and cons₀ are the 2026 starting values, gᴵⁿᶜ = 0.47% per annum (real income growth) and gᶜᵒⁿˢ = 3.00% per annum (consumption inflation). Housing cost(t) follows the tenure rules described in Section 6: the mortgage annuity payment for owners until the mortgage is repaid (then zero), or income₀ × 34% × (1 + 0.47%)ᵗ for renters.</w:t>
      </w:r>
    </w:p>
    <w:p w14:paraId="02E5F22C" w14:textId="77777777" w:rsidR="008815A8" w:rsidRDefault="00000000">
      <w:pPr>
        <w:spacing w:before="60" w:after="60" w:line="288" w:lineRule="auto"/>
      </w:pPr>
      <w:r>
        <w:rPr>
          <w:color w:val="000000"/>
        </w:rPr>
        <w:lastRenderedPageBreak/>
        <w:t>The surplus is floored at zero: households whose costs exceed their income in a given year are not assumed to dissave — they simply have no investable surplus that year. This is a conservative assumption that avoids modelling household debt behaviour.</w:t>
      </w:r>
    </w:p>
    <w:p w14:paraId="4A882367" w14:textId="77777777" w:rsidR="008815A8" w:rsidRDefault="00000000">
      <w:pPr>
        <w:pStyle w:val="Heading3"/>
      </w:pPr>
      <w:r>
        <w:t>7.2 Savings accumulation</w:t>
      </w:r>
    </w:p>
    <w:p w14:paraId="63C300B5" w14:textId="77777777" w:rsidR="008815A8" w:rsidRDefault="00000000">
      <w:pPr>
        <w:spacing w:before="60" w:after="60" w:line="288" w:lineRule="auto"/>
      </w:pPr>
      <w:r>
        <w:rPr>
          <w:color w:val="000000"/>
        </w:rPr>
        <w:t>Each year’s surplus is split between pension contributions and financial savings:</w:t>
      </w:r>
    </w:p>
    <w:p w14:paraId="4AFF0BE0" w14:textId="77777777" w:rsidR="008815A8" w:rsidRDefault="00000000">
      <w:pPr>
        <w:pStyle w:val="ListParagraph"/>
        <w:numPr>
          <w:ilvl w:val="0"/>
          <w:numId w:val="2"/>
        </w:numPr>
        <w:spacing w:before="40" w:after="40" w:line="276" w:lineRule="auto"/>
      </w:pPr>
      <w:r>
        <w:rPr>
          <w:color w:val="000000"/>
        </w:rPr>
        <w:t>8% of surplus → pension pot (combined employer and employee DC contribution rate, consistent with auto-enrolment minimums).</w:t>
      </w:r>
    </w:p>
    <w:p w14:paraId="35776E56" w14:textId="77777777" w:rsidR="008815A8" w:rsidRDefault="00000000">
      <w:pPr>
        <w:pStyle w:val="ListParagraph"/>
        <w:numPr>
          <w:ilvl w:val="0"/>
          <w:numId w:val="2"/>
        </w:numPr>
        <w:spacing w:before="40" w:after="40" w:line="276" w:lineRule="auto"/>
      </w:pPr>
      <w:r>
        <w:rPr>
          <w:color w:val="000000"/>
        </w:rPr>
        <w:t>92% of surplus → financial savings (net financial wealth account).</w:t>
      </w:r>
    </w:p>
    <w:p w14:paraId="41D0AA8A" w14:textId="77777777" w:rsidR="008815A8" w:rsidRDefault="00000000">
      <w:pPr>
        <w:spacing w:before="60" w:after="60" w:line="288" w:lineRule="auto"/>
      </w:pPr>
      <w:r>
        <w:rPr>
          <w:color w:val="000000"/>
        </w:rPr>
        <w:t>Each year’s pension contribution is compounded forward to retirement at 3.0% per annum real (a conservative long-run real return on a balanced DC fund). Each year’s financial saving is compounded at 3.5% per annum real (consistent with HM Treasury Green Book social discount rate, also used as the standard balanced portfolio return assumption). The existing 2026 pension and financial wealth stocks are separately compounded to retirement at the same respective rates.</w:t>
      </w:r>
    </w:p>
    <w:p w14:paraId="7D2B4D0A" w14:textId="77777777" w:rsidR="008815A8" w:rsidRDefault="00000000">
      <w:pPr>
        <w:pStyle w:val="Heading3"/>
      </w:pPr>
      <w:r>
        <w:t>7.3 Property and physical wealth</w:t>
      </w:r>
    </w:p>
    <w:p w14:paraId="013781D5" w14:textId="77777777" w:rsidR="008815A8" w:rsidRDefault="00000000">
      <w:pPr>
        <w:spacing w:before="60" w:after="60" w:line="288" w:lineRule="auto"/>
      </w:pPr>
      <w:r>
        <w:rPr>
          <w:color w:val="000000"/>
        </w:rPr>
        <w:t>Property wealth at retirement for owner-occupiers is:</w:t>
      </w:r>
    </w:p>
    <w:p w14:paraId="497C6BF8" w14:textId="77777777" w:rsidR="008815A8" w:rsidRDefault="00000000">
      <w:pPr>
        <w:spacing w:before="100" w:after="100"/>
        <w:ind w:left="720"/>
      </w:pPr>
      <w:r>
        <w:rPr>
          <w:rFonts w:ascii="Courier New" w:eastAsia="Courier New" w:hAnsi="Courier New" w:cs="Courier New"/>
          <w:color w:val="1F3864"/>
          <w:sz w:val="20"/>
          <w:szCs w:val="20"/>
        </w:rPr>
        <w:t>Propertyᵣᵉᵗ = gross_prop_value₂₀₂₆ × (1 + 1.62%)ⁿ</w:t>
      </w:r>
    </w:p>
    <w:p w14:paraId="4546EDA6" w14:textId="77777777" w:rsidR="008815A8" w:rsidRDefault="00000000">
      <w:pPr>
        <w:spacing w:before="60" w:after="60" w:line="288" w:lineRule="auto"/>
      </w:pPr>
      <w:r>
        <w:rPr>
          <w:color w:val="000000"/>
        </w:rPr>
        <w:t>The gross property value — not the net — is used as the base. The net equity (HPropWR8) already deducts the outstanding mortgage; adding TotMortR8 back gives the full current market value of the property. The mortgage is assumed fully repaid by retirement, so the owner holds the entire unencumbered property at that point. Renters have zero projected property wealth.</w:t>
      </w:r>
    </w:p>
    <w:p w14:paraId="4D17D577" w14:textId="77777777" w:rsidR="008815A8" w:rsidRDefault="00000000">
      <w:pPr>
        <w:spacing w:before="60" w:after="60" w:line="288" w:lineRule="auto"/>
      </w:pPr>
      <w:r>
        <w:rPr>
          <w:color w:val="000000"/>
        </w:rPr>
        <w:t>Physical wealth (vehicles, collectibles, household contents) grows at the real wealth CAGR of −0.08% per annum — a near-zero rate reflecting that this category of wealth does not systematically appreciate in real terms.</w:t>
      </w:r>
    </w:p>
    <w:p w14:paraId="2665201B" w14:textId="77777777" w:rsidR="008815A8" w:rsidRDefault="00000000">
      <w:pPr>
        <w:pStyle w:val="Heading2"/>
        <w:pBdr>
          <w:bottom w:val="single" w:sz="6" w:space="4" w:color="2E75B6"/>
        </w:pBdr>
      </w:pPr>
      <w:r>
        <w:t>8. Growth Rate Assumptions</w:t>
      </w:r>
    </w:p>
    <w:p w14:paraId="108D788A" w14:textId="77777777" w:rsidR="008815A8" w:rsidRDefault="00000000">
      <w:pPr>
        <w:spacing w:before="60" w:after="60" w:line="288" w:lineRule="auto"/>
      </w:pPr>
      <w:r>
        <w:rPr>
          <w:color w:val="000000"/>
        </w:rPr>
        <w:t>All real growth rates used in the projection are derived empirically from the external time series. For each series, the method is:</w:t>
      </w:r>
    </w:p>
    <w:p w14:paraId="1E55F99C" w14:textId="77777777" w:rsidR="008815A8" w:rsidRDefault="00000000">
      <w:pPr>
        <w:pStyle w:val="ListParagraph"/>
        <w:numPr>
          <w:ilvl w:val="0"/>
          <w:numId w:val="2"/>
        </w:numPr>
        <w:spacing w:before="40" w:after="40" w:line="276" w:lineRule="auto"/>
      </w:pPr>
      <w:r>
        <w:rPr>
          <w:color w:val="000000"/>
        </w:rPr>
        <w:t>Restrict to observed data only (no extrapolated years).</w:t>
      </w:r>
    </w:p>
    <w:p w14:paraId="6355A758" w14:textId="77777777" w:rsidR="008815A8" w:rsidRDefault="00000000">
      <w:pPr>
        <w:pStyle w:val="ListParagraph"/>
        <w:numPr>
          <w:ilvl w:val="0"/>
          <w:numId w:val="2"/>
        </w:numPr>
        <w:spacing w:before="40" w:after="40" w:line="276" w:lineRule="auto"/>
      </w:pPr>
      <w:r>
        <w:rPr>
          <w:color w:val="000000"/>
        </w:rPr>
        <w:t>Deflate each year’s value to the final observed year’s prices using the CPIH index (</w:t>
      </w:r>
      <w:r>
        <w:rPr>
          <w:i/>
          <w:iCs/>
          <w:color w:val="000000"/>
        </w:rPr>
        <w:t>real valueᵗ = nominal valueᵗ × CPIH_final / CPIHᵗ</w:t>
      </w:r>
      <w:r>
        <w:rPr>
          <w:color w:val="000000"/>
        </w:rPr>
        <w:t>). This removes general inflation so only the genuine real change in the variable remains.</w:t>
      </w:r>
    </w:p>
    <w:p w14:paraId="6801B45B" w14:textId="77777777" w:rsidR="008815A8" w:rsidRDefault="00000000">
      <w:pPr>
        <w:pStyle w:val="ListParagraph"/>
        <w:numPr>
          <w:ilvl w:val="0"/>
          <w:numId w:val="2"/>
        </w:numPr>
        <w:spacing w:before="40" w:after="40" w:line="276" w:lineRule="auto"/>
      </w:pPr>
      <w:r>
        <w:rPr>
          <w:color w:val="000000"/>
        </w:rPr>
        <w:t>Compute the CAGR on the real series from the first to the last observed year.</w:t>
      </w:r>
    </w:p>
    <w:p w14:paraId="2470FBA6" w14:textId="77777777" w:rsidR="008815A8" w:rsidRDefault="008815A8">
      <w:pPr>
        <w:spacing w:before="60" w:after="80" w:line="276" w:lineRule="auto"/>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500"/>
        <w:gridCol w:w="1500"/>
        <w:gridCol w:w="1760"/>
      </w:tblGrid>
      <w:tr w:rsidR="008815A8" w14:paraId="3501D5D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2DB0F" w14:textId="77777777" w:rsidR="008815A8" w:rsidRDefault="00000000">
            <w:r>
              <w:rPr>
                <w:b/>
                <w:bCs/>
                <w:color w:val="FFFFFF"/>
                <w:sz w:val="20"/>
                <w:szCs w:val="20"/>
              </w:rPr>
              <w:t>Growth rate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4A9A6D" w14:textId="77777777" w:rsidR="008815A8" w:rsidRDefault="00000000">
            <w:r>
              <w:rPr>
                <w:b/>
                <w:bCs/>
                <w:color w:val="FFFFFF"/>
                <w:sz w:val="20"/>
                <w:szCs w:val="20"/>
              </w:rPr>
              <w:t>Series span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13287A" w14:textId="77777777" w:rsidR="008815A8" w:rsidRDefault="00000000">
            <w:r>
              <w:rPr>
                <w:b/>
                <w:bCs/>
                <w:color w:val="FFFFFF"/>
                <w:sz w:val="20"/>
                <w:szCs w:val="20"/>
              </w:rPr>
              <w:t>Nominal CAGR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4CB34" w14:textId="77777777" w:rsidR="008815A8" w:rsidRDefault="00000000">
            <w:r>
              <w:rPr>
                <w:b/>
                <w:bCs/>
                <w:color w:val="FFFFFF"/>
                <w:sz w:val="20"/>
                <w:szCs w:val="20"/>
              </w:rPr>
              <w:t>Real CAGR (CPI-deflated)</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F45F89" w14:textId="77777777" w:rsidR="008815A8" w:rsidRDefault="00000000">
            <w:r>
              <w:rPr>
                <w:b/>
                <w:bCs/>
                <w:color w:val="FFFFFF"/>
                <w:sz w:val="20"/>
                <w:szCs w:val="20"/>
              </w:rPr>
              <w:t>Used for</w:t>
            </w:r>
          </w:p>
        </w:tc>
      </w:tr>
      <w:tr w:rsidR="008815A8" w14:paraId="40D53D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5BFD3" w14:textId="77777777" w:rsidR="008815A8" w:rsidRDefault="00000000">
            <w:r>
              <w:rPr>
                <w:sz w:val="20"/>
                <w:szCs w:val="20"/>
              </w:rPr>
              <w:t>House price growth (g_HPI)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CBAE6" w14:textId="77777777" w:rsidR="008815A8" w:rsidRDefault="00000000">
            <w:pPr>
              <w:jc w:val="center"/>
            </w:pPr>
            <w:r>
              <w:rPr>
                <w:sz w:val="20"/>
                <w:szCs w:val="20"/>
              </w:rPr>
              <w:t>2009–2025 (16 yrs)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ADAB5" w14:textId="77777777" w:rsidR="008815A8" w:rsidRDefault="00000000">
            <w:pPr>
              <w:jc w:val="center"/>
            </w:pPr>
            <w:r>
              <w:rPr>
                <w:sz w:val="20"/>
                <w:szCs w:val="20"/>
              </w:rPr>
              <w:t>+4.53%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4FA5E" w14:textId="77777777" w:rsidR="008815A8" w:rsidRDefault="00000000">
            <w:pPr>
              <w:jc w:val="center"/>
            </w:pPr>
            <w:r>
              <w:rPr>
                <w:b/>
                <w:bCs/>
                <w:color w:val="1F3864"/>
                <w:sz w:val="20"/>
                <w:szCs w:val="20"/>
              </w:rPr>
              <w:t>+1.62%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5ACDC" w14:textId="77777777" w:rsidR="008815A8" w:rsidRDefault="00000000">
            <w:r>
              <w:rPr>
                <w:sz w:val="20"/>
                <w:szCs w:val="20"/>
              </w:rPr>
              <w:t>Property wealth projection</w:t>
            </w:r>
          </w:p>
        </w:tc>
      </w:tr>
      <w:tr w:rsidR="008815A8" w14:paraId="515817B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4005A" w14:textId="77777777" w:rsidR="008815A8" w:rsidRDefault="00000000">
            <w:r>
              <w:rPr>
                <w:sz w:val="20"/>
                <w:szCs w:val="20"/>
              </w:rPr>
              <w:t>Real income growth (g_inc)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E545C" w14:textId="77777777" w:rsidR="008815A8" w:rsidRDefault="00000000">
            <w:pPr>
              <w:jc w:val="center"/>
            </w:pPr>
            <w:r>
              <w:rPr>
                <w:sz w:val="20"/>
                <w:szCs w:val="20"/>
              </w:rPr>
              <w:t>2009–2025 (16 yrs)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73B32" w14:textId="77777777" w:rsidR="008815A8" w:rsidRDefault="00000000">
            <w:pPr>
              <w:jc w:val="center"/>
            </w:pPr>
            <w:r>
              <w:rPr>
                <w:sz w:val="20"/>
                <w:szCs w:val="20"/>
              </w:rPr>
              <w:t>+3.34%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6A4AF" w14:textId="77777777" w:rsidR="008815A8" w:rsidRDefault="00000000">
            <w:pPr>
              <w:jc w:val="center"/>
            </w:pPr>
            <w:r>
              <w:rPr>
                <w:b/>
                <w:bCs/>
                <w:color w:val="1F3864"/>
                <w:sz w:val="20"/>
                <w:szCs w:val="20"/>
              </w:rPr>
              <w:t>+0.47%</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8BE44" w14:textId="77777777" w:rsidR="008815A8" w:rsidRDefault="00000000">
            <w:r>
              <w:rPr>
                <w:sz w:val="20"/>
                <w:szCs w:val="20"/>
              </w:rPr>
              <w:t>Year-by-year income &amp; rent trajectory</w:t>
            </w:r>
          </w:p>
        </w:tc>
      </w:tr>
      <w:tr w:rsidR="008815A8" w14:paraId="2EDCA4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369C1" w14:textId="77777777" w:rsidR="008815A8" w:rsidRDefault="00000000">
            <w:r>
              <w:rPr>
                <w:sz w:val="20"/>
                <w:szCs w:val="20"/>
              </w:rPr>
              <w:t>Real wealth growth (g_wlt)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CDE84" w14:textId="77777777" w:rsidR="008815A8" w:rsidRDefault="00000000">
            <w:pPr>
              <w:jc w:val="center"/>
            </w:pPr>
            <w:r>
              <w:rPr>
                <w:sz w:val="20"/>
                <w:szCs w:val="20"/>
              </w:rPr>
              <w:t>2009–2021 (12 yrs)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139C8" w14:textId="77777777" w:rsidR="008815A8" w:rsidRDefault="00000000">
            <w:pPr>
              <w:jc w:val="center"/>
            </w:pPr>
            <w:r>
              <w:rPr>
                <w:sz w:val="20"/>
                <w:szCs w:val="20"/>
              </w:rPr>
              <w:t>+1.93%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2809A" w14:textId="77777777" w:rsidR="008815A8" w:rsidRDefault="00000000">
            <w:pPr>
              <w:jc w:val="center"/>
            </w:pPr>
            <w:r>
              <w:rPr>
                <w:b/>
                <w:bCs/>
                <w:color w:val="1F3864"/>
                <w:sz w:val="20"/>
                <w:szCs w:val="20"/>
              </w:rPr>
              <w:t>−0.08%</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C70B6" w14:textId="77777777" w:rsidR="008815A8" w:rsidRDefault="00000000">
            <w:r>
              <w:rPr>
                <w:sz w:val="20"/>
                <w:szCs w:val="20"/>
              </w:rPr>
              <w:t>Physical wealth projection</w:t>
            </w:r>
          </w:p>
        </w:tc>
      </w:tr>
      <w:tr w:rsidR="008815A8" w14:paraId="09C98DE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466D" w14:textId="77777777" w:rsidR="008815A8" w:rsidRDefault="00000000">
            <w:r>
              <w:rPr>
                <w:sz w:val="20"/>
                <w:szCs w:val="20"/>
              </w:rPr>
              <w:lastRenderedPageBreak/>
              <w:t>Financial return (fixed)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A070" w14:textId="77777777" w:rsidR="008815A8"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69E30" w14:textId="77777777" w:rsidR="008815A8"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F6570" w14:textId="77777777" w:rsidR="008815A8" w:rsidRDefault="00000000">
            <w:pPr>
              <w:jc w:val="center"/>
            </w:pPr>
            <w:r>
              <w:rPr>
                <w:b/>
                <w:bCs/>
                <w:color w:val="1F3864"/>
                <w:sz w:val="20"/>
                <w:szCs w:val="20"/>
              </w:rPr>
              <w:t>+3.50%</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356E5" w14:textId="77777777" w:rsidR="008815A8" w:rsidRDefault="00000000">
            <w:r>
              <w:rPr>
                <w:sz w:val="20"/>
                <w:szCs w:val="20"/>
              </w:rPr>
              <w:t>Financial savings compounding</w:t>
            </w:r>
          </w:p>
        </w:tc>
      </w:tr>
      <w:tr w:rsidR="008815A8" w14:paraId="0B4458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56A07" w14:textId="77777777" w:rsidR="008815A8" w:rsidRDefault="00000000">
            <w:r>
              <w:rPr>
                <w:sz w:val="20"/>
                <w:szCs w:val="20"/>
              </w:rPr>
              <w:t>Pension return (fixed)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14E3C" w14:textId="77777777" w:rsidR="008815A8"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31669" w14:textId="77777777" w:rsidR="008815A8"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F7FFA" w14:textId="77777777" w:rsidR="008815A8" w:rsidRDefault="00000000">
            <w:pPr>
              <w:jc w:val="center"/>
            </w:pPr>
            <w:r>
              <w:rPr>
                <w:b/>
                <w:bCs/>
                <w:color w:val="1F3864"/>
                <w:sz w:val="20"/>
                <w:szCs w:val="20"/>
              </w:rPr>
              <w:t>+3.00%</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D7EBF" w14:textId="77777777" w:rsidR="008815A8" w:rsidRDefault="00000000">
            <w:r>
              <w:rPr>
                <w:sz w:val="20"/>
                <w:szCs w:val="20"/>
              </w:rPr>
              <w:t>Pension pot compounding</w:t>
            </w:r>
          </w:p>
        </w:tc>
      </w:tr>
      <w:tr w:rsidR="008815A8" w14:paraId="43984FB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45988" w14:textId="77777777" w:rsidR="008815A8" w:rsidRDefault="00000000">
            <w:r>
              <w:rPr>
                <w:sz w:val="20"/>
                <w:szCs w:val="20"/>
              </w:rPr>
              <w:t>Consumption inflation (fixed)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BA3A7" w14:textId="77777777" w:rsidR="008815A8"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2110F" w14:textId="77777777" w:rsidR="008815A8"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57306" w14:textId="77777777" w:rsidR="008815A8" w:rsidRDefault="00000000">
            <w:pPr>
              <w:jc w:val="center"/>
            </w:pPr>
            <w:r>
              <w:rPr>
                <w:b/>
                <w:bCs/>
                <w:color w:val="1F3864"/>
                <w:sz w:val="20"/>
                <w:szCs w:val="20"/>
              </w:rPr>
              <w:t>+3.00%</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A6959" w14:textId="77777777" w:rsidR="008815A8" w:rsidRDefault="00000000">
            <w:r>
              <w:rPr>
                <w:sz w:val="20"/>
                <w:szCs w:val="20"/>
              </w:rPr>
              <w:t>Annual consumption growth</w:t>
            </w:r>
          </w:p>
        </w:tc>
      </w:tr>
    </w:tbl>
    <w:p w14:paraId="45367419" w14:textId="77777777" w:rsidR="008815A8" w:rsidRDefault="008815A8">
      <w:pPr>
        <w:spacing w:before="100" w:after="80" w:line="276" w:lineRule="auto"/>
      </w:pPr>
    </w:p>
    <w:p w14:paraId="5510B667" w14:textId="77777777" w:rsidR="008815A8" w:rsidRDefault="00000000">
      <w:pPr>
        <w:spacing w:before="60" w:after="60" w:line="288" w:lineRule="auto"/>
      </w:pPr>
      <w:r>
        <w:rPr>
          <w:color w:val="000000"/>
        </w:rPr>
        <w:t>The financial and pension return assumptions (3.5% and 3.0% real respectively) are fixed and do not derive from the time series files, since savings and pension investment returns are not captured in any of the three external datasets. These assumptions are broadly consistent with long-run real returns on balanced portfolios and with DWP DC modelling conventions.</w:t>
      </w:r>
    </w:p>
    <w:p w14:paraId="7D3266A7" w14:textId="77777777" w:rsidR="008815A8" w:rsidRDefault="00000000">
      <w:pPr>
        <w:pStyle w:val="Heading2"/>
        <w:pBdr>
          <w:bottom w:val="single" w:sz="6" w:space="4" w:color="2E75B6"/>
        </w:pBdr>
      </w:pPr>
      <w:r>
        <w:t>9. Discounting</w:t>
      </w:r>
    </w:p>
    <w:p w14:paraId="119921B0" w14:textId="77777777" w:rsidR="008815A8" w:rsidRDefault="00000000">
      <w:pPr>
        <w:spacing w:before="60" w:after="60" w:line="288" w:lineRule="auto"/>
      </w:pPr>
      <w:r>
        <w:rPr>
          <w:color w:val="000000"/>
        </w:rPr>
        <w:t>All projected wealth values at retirement are also reported in discounted present value terms, applying HM Treasury Green Book standard discount rate of 3.5% per annum. The discount factor for each household is applied individually using their own projection horizon n:</w:t>
      </w:r>
    </w:p>
    <w:p w14:paraId="3AAE0AB8" w14:textId="77777777" w:rsidR="008815A8" w:rsidRDefault="00000000">
      <w:pPr>
        <w:spacing w:before="100" w:after="100"/>
        <w:ind w:left="720"/>
      </w:pPr>
      <w:r>
        <w:rPr>
          <w:rFonts w:ascii="Courier New" w:eastAsia="Courier New" w:hAnsi="Courier New" w:cs="Courier New"/>
          <w:color w:val="1F3864"/>
          <w:sz w:val="20"/>
          <w:szCs w:val="20"/>
        </w:rPr>
        <w:t>Discounted wealth = projected wealth × 1 / (1.035)ⁿ</w:t>
      </w:r>
    </w:p>
    <w:p w14:paraId="41DE0E02" w14:textId="77777777" w:rsidR="008815A8" w:rsidRDefault="00000000">
      <w:pPr>
        <w:spacing w:before="60" w:after="60" w:line="288" w:lineRule="auto"/>
      </w:pPr>
      <w:r>
        <w:rPr>
          <w:color w:val="000000"/>
        </w:rPr>
        <w:t>Discounting converts the retirement wealth gap from a future-value figure into a present-value equivalent, answering the question: how much wealth, in today’s terms, would a renter need to set aside now to match the projected retirement position of an owner? Both discounted and undiscounted figures are reported throughout.</w:t>
      </w:r>
    </w:p>
    <w:p w14:paraId="7ECC4268" w14:textId="77777777" w:rsidR="008815A8" w:rsidRDefault="00000000">
      <w:pPr>
        <w:pStyle w:val="Heading2"/>
        <w:pBdr>
          <w:bottom w:val="single" w:sz="6" w:space="4" w:color="2E75B6"/>
        </w:pBdr>
      </w:pPr>
      <w:r>
        <w:t>10. Three-Way Decomposition of the Wealth Gap</w:t>
      </w:r>
    </w:p>
    <w:p w14:paraId="7D1C8E42" w14:textId="77777777" w:rsidR="008815A8" w:rsidRDefault="00000000">
      <w:pPr>
        <w:spacing w:before="60" w:after="60" w:line="288" w:lineRule="auto"/>
      </w:pPr>
      <w:r>
        <w:rPr>
          <w:color w:val="000000"/>
        </w:rPr>
        <w:t>The headline wealth gap is decomposed into three structural channels. This decomposition is designed to answer a natural policy question: of the total gap, how much reflects the direct financial gain from owning a home (property appreciation), how much reflects the long-run housing cost advantage (mortgage that ends vs rent that continues), and how much would exist even without tenure differences simply because owners have higher incomes?</w:t>
      </w:r>
    </w:p>
    <w:p w14:paraId="4B8A6B31" w14:textId="77777777" w:rsidR="008815A8" w:rsidRDefault="00000000">
      <w:pPr>
        <w:pStyle w:val="Heading3"/>
      </w:pPr>
      <w:r>
        <w:t>Channel A — Property capital gain</w:t>
      </w:r>
    </w:p>
    <w:p w14:paraId="183F2253" w14:textId="77777777" w:rsidR="008815A8" w:rsidRDefault="00000000">
      <w:pPr>
        <w:spacing w:before="60" w:after="60" w:line="288" w:lineRule="auto"/>
      </w:pPr>
      <w:r>
        <w:rPr>
          <w:color w:val="000000"/>
        </w:rPr>
        <w:t>Channel A is the projected property wealth of owners at retirement. Renters accumulate zero property wealth by construction of the binary assumption. Channel A therefore equals the weighted mean of projected gross property values compounded at the real HPI growth rate:</w:t>
      </w:r>
    </w:p>
    <w:p w14:paraId="491496BB" w14:textId="77777777" w:rsidR="008815A8" w:rsidRDefault="00000000">
      <w:pPr>
        <w:spacing w:before="80" w:after="80"/>
        <w:ind w:left="720"/>
      </w:pPr>
      <w:r>
        <w:rPr>
          <w:rFonts w:ascii="Courier New" w:eastAsia="Courier New" w:hAnsi="Courier New" w:cs="Courier New"/>
          <w:color w:val="1F3864"/>
          <w:sz w:val="20"/>
          <w:szCs w:val="20"/>
        </w:rPr>
        <w:t>A = E[gross_prop_value₂₀₂₆ × (1.0162)ⁿ | owner]</w:t>
      </w:r>
    </w:p>
    <w:p w14:paraId="35E74FD6" w14:textId="77777777" w:rsidR="008815A8" w:rsidRDefault="00000000">
      <w:pPr>
        <w:pStyle w:val="Heading3"/>
      </w:pPr>
      <w:r>
        <w:t>Channel B — Housing cost savings channel</w:t>
      </w:r>
    </w:p>
    <w:p w14:paraId="05EE9EA9" w14:textId="77777777" w:rsidR="008815A8" w:rsidRDefault="00000000">
      <w:pPr>
        <w:spacing w:before="60" w:after="60" w:line="288" w:lineRule="auto"/>
      </w:pPr>
      <w:r>
        <w:rPr>
          <w:color w:val="000000"/>
        </w:rPr>
        <w:t>Channel B captures the long-run savings advantage arising from the structural difference in housing costs between owners and renters. Owners eventually pay off their mortgage and incur zero housing cost for the remaining years; renters pay rent throughout. Channel B is computed using representative weighted mean values:</w:t>
      </w:r>
    </w:p>
    <w:p w14:paraId="2E496BAC" w14:textId="77777777" w:rsidR="008815A8" w:rsidRDefault="00000000">
      <w:pPr>
        <w:pStyle w:val="ListParagraph"/>
        <w:numPr>
          <w:ilvl w:val="0"/>
          <w:numId w:val="2"/>
        </w:numPr>
        <w:spacing w:before="40" w:after="40" w:line="276" w:lineRule="auto"/>
      </w:pPr>
      <w:r>
        <w:rPr>
          <w:color w:val="000000"/>
        </w:rPr>
        <w:t>During the mortgage years: if rent exceeds the mortgage payment, the owner saves the differential annually, compounded forward at the financial return rate.</w:t>
      </w:r>
    </w:p>
    <w:p w14:paraId="51B47AC1" w14:textId="77777777" w:rsidR="008815A8" w:rsidRDefault="00000000">
      <w:pPr>
        <w:pStyle w:val="ListParagraph"/>
        <w:numPr>
          <w:ilvl w:val="0"/>
          <w:numId w:val="2"/>
        </w:numPr>
        <w:spacing w:before="40" w:after="40" w:line="276" w:lineRule="auto"/>
      </w:pPr>
      <w:r>
        <w:rPr>
          <w:color w:val="000000"/>
        </w:rPr>
        <w:lastRenderedPageBreak/>
        <w:t>After mortgage payoff: the owner pays nothing; the renter continues paying rent. The full annual rent for these post-payoff years, compounded to retirement, is attributed to Channel B.</w:t>
      </w:r>
    </w:p>
    <w:p w14:paraId="13D60CB7" w14:textId="77777777" w:rsidR="008815A8" w:rsidRDefault="00000000">
      <w:pPr>
        <w:spacing w:before="60" w:after="60" w:line="288" w:lineRule="auto"/>
      </w:pPr>
      <w:r>
        <w:rPr>
          <w:color w:val="000000"/>
        </w:rPr>
        <w:t>This channel captures both the ‘rent versus mortgage’ cost differential and the ‘rent versus zero’ differential in the post-mortgage years.</w:t>
      </w:r>
    </w:p>
    <w:p w14:paraId="15B290B7" w14:textId="77777777" w:rsidR="008815A8" w:rsidRDefault="00000000">
      <w:pPr>
        <w:pStyle w:val="Heading3"/>
      </w:pPr>
      <w:r>
        <w:t>Channel C — Income and endowment channel</w:t>
      </w:r>
    </w:p>
    <w:p w14:paraId="7E6673D9" w14:textId="77777777" w:rsidR="008815A8" w:rsidRDefault="00000000">
      <w:pPr>
        <w:spacing w:before="60" w:after="60" w:line="288" w:lineRule="auto"/>
      </w:pPr>
      <w:r>
        <w:rPr>
          <w:color w:val="000000"/>
        </w:rPr>
        <w:t>Channel C is the residual: the total gap minus Channels A and B. It captures the portion of the wealth gap that would exist even if owners and renters faced identical housing costs — reflecting the underlying income advantage of owners (who earn approximately £15,000 more per year in this cohort), their higher starting financial and pension wealth, and any other structural endowment differences between the two groups.</w:t>
      </w:r>
    </w:p>
    <w:p w14:paraId="3B7754F4" w14:textId="77777777" w:rsidR="008815A8" w:rsidRDefault="00000000">
      <w:pPr>
        <w:pStyle w:val="Heading2"/>
        <w:pBdr>
          <w:bottom w:val="single" w:sz="6" w:space="4" w:color="2E75B6"/>
        </w:pBdr>
      </w:pPr>
      <w:r>
        <w:t>11. Sensitivity Analysis</w:t>
      </w:r>
    </w:p>
    <w:p w14:paraId="6C02D7B3" w14:textId="77777777" w:rsidR="008815A8" w:rsidRDefault="00000000">
      <w:pPr>
        <w:spacing w:before="60" w:after="60" w:line="288" w:lineRule="auto"/>
      </w:pPr>
      <w:r>
        <w:rPr>
          <w:color w:val="000000"/>
        </w:rPr>
        <w:t>Five sensitivity scenarios test the robustness of the headline results to key assumptions: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360"/>
      </w:tblGrid>
      <w:tr w:rsidR="008815A8" w14:paraId="0F1991B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9DDAC" w14:textId="77777777" w:rsidR="008815A8" w:rsidRDefault="00000000">
            <w:r>
              <w:rPr>
                <w:b/>
                <w:bCs/>
                <w:color w:val="FFFFFF"/>
                <w:sz w:val="20"/>
                <w:szCs w:val="20"/>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59DBD6" w14:textId="77777777" w:rsidR="008815A8" w:rsidRDefault="00000000">
            <w:r>
              <w:rPr>
                <w:b/>
                <w:bCs/>
                <w:color w:val="FFFFFF"/>
                <w:sz w:val="20"/>
                <w:szCs w:val="20"/>
              </w:rPr>
              <w:t>Changed assumption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537E1B" w14:textId="77777777" w:rsidR="008815A8" w:rsidRDefault="00000000">
            <w:r>
              <w:rPr>
                <w:b/>
                <w:bCs/>
                <w:color w:val="FFFFFF"/>
                <w:sz w:val="20"/>
                <w:szCs w:val="20"/>
              </w:rPr>
              <w:t>Rationale</w:t>
            </w:r>
          </w:p>
        </w:tc>
      </w:tr>
      <w:tr w:rsidR="008815A8" w14:paraId="2AB625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83DB9" w14:textId="77777777" w:rsidR="008815A8" w:rsidRDefault="00000000">
            <w:r>
              <w:rPr>
                <w:b/>
                <w:bCs/>
                <w:sz w:val="20"/>
                <w:szCs w:val="20"/>
              </w:rPr>
              <w:t>Low HPI (real 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4C20A" w14:textId="77777777" w:rsidR="008815A8" w:rsidRDefault="00000000">
            <w:r>
              <w:rPr>
                <w:sz w:val="20"/>
                <w:szCs w:val="20"/>
              </w:rPr>
              <w:t>HPI growth = 0% p.a.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4DFAF" w14:textId="77777777" w:rsidR="008815A8" w:rsidRDefault="00000000">
            <w:r>
              <w:rPr>
                <w:sz w:val="20"/>
                <w:szCs w:val="20"/>
              </w:rPr>
              <w:t>Tests scenario where house prices grow only in line with inflation — lower bound for property channel</w:t>
            </w:r>
          </w:p>
        </w:tc>
      </w:tr>
      <w:tr w:rsidR="008815A8" w14:paraId="727781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B5822" w14:textId="77777777" w:rsidR="008815A8" w:rsidRDefault="00000000">
            <w:r>
              <w:rPr>
                <w:b/>
                <w:bCs/>
                <w:sz w:val="20"/>
                <w:szCs w:val="20"/>
              </w:rPr>
              <w:t>High HPI (real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0D5E3" w14:textId="77777777" w:rsidR="008815A8" w:rsidRDefault="00000000">
            <w:r>
              <w:rPr>
                <w:sz w:val="20"/>
                <w:szCs w:val="20"/>
              </w:rPr>
              <w:t>HPI growth = 3% p.a.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A2E85" w14:textId="77777777" w:rsidR="008815A8" w:rsidRDefault="00000000">
            <w:r>
              <w:rPr>
                <w:sz w:val="20"/>
                <w:szCs w:val="20"/>
              </w:rPr>
              <w:t>Tests scenario consistent with historical boom periods — upper bound for property channel</w:t>
            </w:r>
          </w:p>
        </w:tc>
      </w:tr>
      <w:tr w:rsidR="008815A8" w14:paraId="00F896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22F9B" w14:textId="77777777" w:rsidR="008815A8" w:rsidRDefault="00000000">
            <w:r>
              <w:rPr>
                <w:b/>
                <w:bCs/>
                <w:sz w:val="20"/>
                <w:szCs w:val="20"/>
              </w:rPr>
              <w:t>Rent escalation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93AC7" w14:textId="77777777" w:rsidR="008815A8" w:rsidRDefault="00000000">
            <w:r>
              <w:rPr>
                <w:sz w:val="20"/>
                <w:szCs w:val="20"/>
              </w:rPr>
              <w:t>Rent grows 1% faster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0CCAA" w14:textId="77777777" w:rsidR="008815A8" w:rsidRDefault="00000000">
            <w:r>
              <w:rPr>
                <w:sz w:val="20"/>
                <w:szCs w:val="20"/>
              </w:rPr>
              <w:t>Tests higher rent burden on renters, increasing housing cost drag on savings</w:t>
            </w:r>
          </w:p>
        </w:tc>
      </w:tr>
      <w:tr w:rsidR="008815A8" w14:paraId="113F728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32E5B" w14:textId="77777777" w:rsidR="008815A8" w:rsidRDefault="00000000">
            <w:r>
              <w:rPr>
                <w:b/>
                <w:bCs/>
                <w:sz w:val="20"/>
                <w:szCs w:val="20"/>
              </w:rPr>
              <w:t>DC underperformance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499A" w14:textId="77777777" w:rsidR="008815A8" w:rsidRDefault="00000000">
            <w:r>
              <w:rPr>
                <w:sz w:val="20"/>
                <w:szCs w:val="20"/>
              </w:rPr>
              <w:t>Pension return = 2% p.a.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27781" w14:textId="77777777" w:rsidR="008815A8" w:rsidRDefault="00000000">
            <w:r>
              <w:rPr>
                <w:sz w:val="20"/>
                <w:szCs w:val="20"/>
              </w:rPr>
              <w:t>Tests lower investment returns for defined contribution pension savers</w:t>
            </w:r>
          </w:p>
        </w:tc>
      </w:tr>
      <w:tr w:rsidR="008815A8" w14:paraId="37444C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A20CD" w14:textId="77777777" w:rsidR="008815A8" w:rsidRDefault="00000000">
            <w:r>
              <w:rPr>
                <w:b/>
                <w:bCs/>
                <w:sz w:val="20"/>
                <w:szCs w:val="20"/>
              </w:rPr>
              <w:t>No parental transfers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93E4C" w14:textId="77777777" w:rsidR="008815A8" w:rsidRDefault="00000000">
            <w:r>
              <w:rPr>
                <w:sz w:val="20"/>
                <w:szCs w:val="20"/>
              </w:rPr>
              <w:t>Gift/inheritance flag zeroed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7E40B" w14:textId="77777777" w:rsidR="008815A8" w:rsidRDefault="00000000">
            <w:r>
              <w:rPr>
                <w:sz w:val="20"/>
                <w:szCs w:val="20"/>
              </w:rPr>
              <w:t>Tests how much of the gap is explained by receipt of family financial support</w:t>
            </w:r>
          </w:p>
        </w:tc>
      </w:tr>
    </w:tbl>
    <w:p w14:paraId="522BD79B" w14:textId="77777777" w:rsidR="008815A8" w:rsidRDefault="008815A8">
      <w:pPr>
        <w:spacing w:before="100" w:after="80" w:line="276" w:lineRule="auto"/>
      </w:pPr>
    </w:p>
    <w:p w14:paraId="76FB2D0C" w14:textId="77777777" w:rsidR="008815A8" w:rsidRDefault="00000000">
      <w:pPr>
        <w:pStyle w:val="Heading2"/>
        <w:pBdr>
          <w:bottom w:val="single" w:sz="6" w:space="4" w:color="2E75B6"/>
        </w:pBdr>
      </w:pPr>
      <w:r>
        <w:t>12. Headline Results</w:t>
      </w:r>
    </w:p>
    <w:p w14:paraId="1CFC1A1A" w14:textId="77777777" w:rsidR="008815A8" w:rsidRDefault="00000000">
      <w:pPr>
        <w:spacing w:before="60" w:after="60" w:line="288" w:lineRule="auto"/>
      </w:pPr>
      <w:r>
        <w:rPr>
          <w:color w:val="000000"/>
        </w:rPr>
        <w:t>The following results are from the central scenario, expressed in 2026 prices.</w:t>
      </w:r>
    </w:p>
    <w:p w14:paraId="0E820AED" w14:textId="77777777" w:rsidR="008815A8" w:rsidRDefault="008815A8">
      <w:pPr>
        <w:spacing w:before="60" w:after="80" w:line="276" w:lineRule="auto"/>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400"/>
      </w:tblGrid>
      <w:tr w:rsidR="008815A8" w14:paraId="47C3D236" w14:textId="77777777">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E9D168" w14:textId="77777777" w:rsidR="008815A8" w:rsidRDefault="00000000">
            <w:pPr>
              <w:spacing w:before="60" w:after="60"/>
            </w:pPr>
            <w:r>
              <w:rPr>
                <w:b/>
                <w:bCs/>
                <w:color w:val="FFFFFF"/>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35C2B" w14:textId="77777777" w:rsidR="008815A8" w:rsidRDefault="00000000">
            <w:pPr>
              <w:spacing w:before="60" w:after="60"/>
              <w:jc w:val="right"/>
            </w:pPr>
            <w:r>
              <w:rPr>
                <w:b/>
                <w:bCs/>
                <w:color w:val="FFFFFF"/>
              </w:rPr>
              <w:t>Value (2026 £)</w:t>
            </w:r>
          </w:p>
        </w:tc>
      </w:tr>
      <w:tr w:rsidR="008815A8" w14:paraId="7C01D94A" w14:textId="77777777">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642D5F" w14:textId="77777777" w:rsidR="008815A8" w:rsidRDefault="00000000">
            <w:pPr>
              <w:spacing w:before="60" w:after="60"/>
            </w:pPr>
            <w:r>
              <w:rPr>
                <w:b/>
                <w:bCs/>
                <w:color w:val="1F3864"/>
              </w:rPr>
              <w:t>Projected retirement wealth — owners</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D617E" w14:textId="77777777" w:rsidR="008815A8" w:rsidRDefault="008815A8">
            <w:pPr>
              <w:spacing w:before="60" w:after="60"/>
              <w:jc w:val="right"/>
            </w:pPr>
          </w:p>
        </w:tc>
      </w:tr>
      <w:tr w:rsidR="008815A8" w14:paraId="2F3DC9FD"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9E6C3" w14:textId="77777777" w:rsidR="008815A8" w:rsidRDefault="00000000">
            <w:pPr>
              <w:spacing w:before="60" w:after="60"/>
            </w:pPr>
            <w:r>
              <w:rPr>
                <w:color w:val="1F3864"/>
              </w:rPr>
              <w:t xml:space="preserve">  Total wealth at retirement (undiscounted)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6C2D9" w14:textId="77777777" w:rsidR="008815A8" w:rsidRDefault="00000000">
            <w:pPr>
              <w:spacing w:before="60" w:after="60"/>
              <w:jc w:val="right"/>
            </w:pPr>
            <w:r>
              <w:rPr>
                <w:color w:val="1F3864"/>
              </w:rPr>
              <w:t>£1,625,326</w:t>
            </w:r>
          </w:p>
        </w:tc>
      </w:tr>
      <w:tr w:rsidR="008815A8" w14:paraId="32FF6F4B"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AA980" w14:textId="77777777" w:rsidR="008815A8" w:rsidRDefault="00000000">
            <w:pPr>
              <w:spacing w:before="60" w:after="60"/>
            </w:pPr>
            <w:r>
              <w:rPr>
                <w:color w:val="1F3864"/>
              </w:rPr>
              <w:t xml:space="preserve">  Total wealth at retirement (discounted @ 3.5%)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5955A" w14:textId="77777777" w:rsidR="008815A8" w:rsidRDefault="00000000">
            <w:pPr>
              <w:spacing w:before="60" w:after="60"/>
              <w:jc w:val="right"/>
            </w:pPr>
            <w:r>
              <w:rPr>
                <w:color w:val="1F3864"/>
              </w:rPr>
              <w:t>£540,525</w:t>
            </w:r>
          </w:p>
        </w:tc>
      </w:tr>
      <w:tr w:rsidR="008815A8" w14:paraId="71AE22F8" w14:textId="77777777">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5D62AC" w14:textId="77777777" w:rsidR="008815A8" w:rsidRDefault="00000000">
            <w:pPr>
              <w:spacing w:before="60" w:after="60"/>
            </w:pPr>
            <w:r>
              <w:rPr>
                <w:b/>
                <w:bCs/>
                <w:color w:val="1F3864"/>
              </w:rPr>
              <w:t>Projected retirement wealth — renters</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9F0C77" w14:textId="77777777" w:rsidR="008815A8" w:rsidRDefault="008815A8">
            <w:pPr>
              <w:spacing w:before="60" w:after="60"/>
              <w:jc w:val="right"/>
            </w:pPr>
          </w:p>
        </w:tc>
      </w:tr>
      <w:tr w:rsidR="008815A8" w14:paraId="77B72748"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07A1B" w14:textId="77777777" w:rsidR="008815A8" w:rsidRDefault="00000000">
            <w:pPr>
              <w:spacing w:before="60" w:after="60"/>
            </w:pPr>
            <w:r>
              <w:rPr>
                <w:color w:val="1F3864"/>
              </w:rPr>
              <w:t xml:space="preserve">  Total wealth at retirement (undiscounted)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93AF2" w14:textId="77777777" w:rsidR="008815A8" w:rsidRDefault="00000000">
            <w:pPr>
              <w:spacing w:before="60" w:after="60"/>
              <w:jc w:val="right"/>
            </w:pPr>
            <w:r>
              <w:rPr>
                <w:color w:val="1F3864"/>
              </w:rPr>
              <w:t>£389,670</w:t>
            </w:r>
          </w:p>
        </w:tc>
      </w:tr>
      <w:tr w:rsidR="008815A8" w14:paraId="3D766B54"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FF66" w14:textId="77777777" w:rsidR="008815A8" w:rsidRDefault="00000000">
            <w:pPr>
              <w:spacing w:before="60" w:after="60"/>
            </w:pPr>
            <w:r>
              <w:rPr>
                <w:color w:val="1F3864"/>
              </w:rPr>
              <w:t xml:space="preserve">  Total wealth at retirement (discounted @ 3.5%)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4CAD7" w14:textId="77777777" w:rsidR="008815A8" w:rsidRDefault="00000000">
            <w:pPr>
              <w:spacing w:before="60" w:after="60"/>
              <w:jc w:val="right"/>
            </w:pPr>
            <w:r>
              <w:rPr>
                <w:color w:val="1F3864"/>
              </w:rPr>
              <w:t>£125,639</w:t>
            </w:r>
          </w:p>
        </w:tc>
      </w:tr>
      <w:tr w:rsidR="008815A8" w14:paraId="01408804" w14:textId="77777777">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004B76" w14:textId="77777777" w:rsidR="008815A8" w:rsidRDefault="00000000">
            <w:pPr>
              <w:spacing w:before="60" w:after="60"/>
            </w:pPr>
            <w:r>
              <w:rPr>
                <w:b/>
                <w:bCs/>
                <w:color w:val="1F3864"/>
              </w:rPr>
              <w:lastRenderedPageBreak/>
              <w:t>Wealth gap</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5BAE75" w14:textId="77777777" w:rsidR="008815A8" w:rsidRDefault="008815A8">
            <w:pPr>
              <w:spacing w:before="60" w:after="60"/>
              <w:jc w:val="right"/>
            </w:pPr>
          </w:p>
        </w:tc>
      </w:tr>
      <w:tr w:rsidR="008815A8" w14:paraId="7371B10C"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EACD7" w14:textId="77777777" w:rsidR="008815A8" w:rsidRDefault="00000000">
            <w:pPr>
              <w:spacing w:before="60" w:after="60"/>
            </w:pPr>
            <w:r>
              <w:rPr>
                <w:color w:val="1F3864"/>
              </w:rPr>
              <w:t xml:space="preserve">  Raw gap (undiscounted)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96E19" w14:textId="77777777" w:rsidR="008815A8" w:rsidRDefault="00000000">
            <w:pPr>
              <w:spacing w:before="60" w:after="60"/>
              <w:jc w:val="right"/>
            </w:pPr>
            <w:r>
              <w:rPr>
                <w:color w:val="1F3864"/>
              </w:rPr>
              <w:t>£1,235,656</w:t>
            </w:r>
          </w:p>
        </w:tc>
      </w:tr>
      <w:tr w:rsidR="008815A8" w14:paraId="6F469959"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21A9C" w14:textId="77777777" w:rsidR="008815A8" w:rsidRDefault="00000000">
            <w:pPr>
              <w:spacing w:before="60" w:after="60"/>
            </w:pPr>
            <w:r>
              <w:rPr>
                <w:color w:val="1F3864"/>
              </w:rPr>
              <w:t xml:space="preserve">  Raw gap (discounted @ 3.5%)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B940" w14:textId="77777777" w:rsidR="008815A8" w:rsidRDefault="00000000">
            <w:pPr>
              <w:spacing w:before="60" w:after="60"/>
              <w:jc w:val="right"/>
            </w:pPr>
            <w:r>
              <w:rPr>
                <w:color w:val="1F3864"/>
              </w:rPr>
              <w:t>£414,886</w:t>
            </w:r>
          </w:p>
        </w:tc>
      </w:tr>
      <w:tr w:rsidR="008815A8" w14:paraId="7C982F94" w14:textId="77777777">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75E804" w14:textId="77777777" w:rsidR="008815A8" w:rsidRDefault="00000000">
            <w:pPr>
              <w:spacing w:before="60" w:after="60"/>
            </w:pPr>
            <w:r>
              <w:rPr>
                <w:b/>
                <w:bCs/>
                <w:color w:val="1F3864"/>
              </w:rPr>
              <w:t>Three-way decomposition (undiscounted)</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529E86" w14:textId="77777777" w:rsidR="008815A8" w:rsidRDefault="008815A8">
            <w:pPr>
              <w:spacing w:before="60" w:after="60"/>
              <w:jc w:val="right"/>
            </w:pPr>
          </w:p>
        </w:tc>
      </w:tr>
      <w:tr w:rsidR="008815A8" w14:paraId="091BB0E5"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63ABE" w14:textId="77777777" w:rsidR="008815A8" w:rsidRDefault="00000000">
            <w:pPr>
              <w:spacing w:before="60" w:after="60"/>
            </w:pPr>
            <w:r>
              <w:rPr>
                <w:color w:val="1F3864"/>
              </w:rPr>
              <w:t xml:space="preserve">  A. Property capital gain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86FF3" w14:textId="77777777" w:rsidR="008815A8" w:rsidRDefault="00000000">
            <w:pPr>
              <w:spacing w:before="60" w:after="60"/>
              <w:jc w:val="right"/>
            </w:pPr>
            <w:r>
              <w:rPr>
                <w:color w:val="1F3864"/>
              </w:rPr>
              <w:t>£594,950 (48.1%)</w:t>
            </w:r>
          </w:p>
        </w:tc>
      </w:tr>
      <w:tr w:rsidR="008815A8" w14:paraId="6452CED4"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DFF29" w14:textId="77777777" w:rsidR="008815A8" w:rsidRDefault="00000000">
            <w:pPr>
              <w:spacing w:before="60" w:after="60"/>
            </w:pPr>
            <w:r>
              <w:rPr>
                <w:color w:val="1F3864"/>
              </w:rPr>
              <w:t xml:space="preserve">  B. Housing cost savings channel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283B0" w14:textId="77777777" w:rsidR="008815A8" w:rsidRDefault="00000000">
            <w:pPr>
              <w:spacing w:before="60" w:after="60"/>
              <w:jc w:val="right"/>
            </w:pPr>
            <w:r>
              <w:rPr>
                <w:color w:val="1F3864"/>
              </w:rPr>
              <w:t>£406,992 (32.9%)</w:t>
            </w:r>
          </w:p>
        </w:tc>
      </w:tr>
      <w:tr w:rsidR="008815A8" w14:paraId="112BA238"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57753" w14:textId="77777777" w:rsidR="008815A8" w:rsidRDefault="00000000">
            <w:pPr>
              <w:spacing w:before="60" w:after="60"/>
            </w:pPr>
            <w:r>
              <w:rPr>
                <w:color w:val="1F3864"/>
              </w:rPr>
              <w:t xml:space="preserve">  C. Income &amp; endowment channel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FA2F7" w14:textId="77777777" w:rsidR="008815A8" w:rsidRDefault="00000000">
            <w:pPr>
              <w:spacing w:before="60" w:after="60"/>
              <w:jc w:val="right"/>
            </w:pPr>
            <w:r>
              <w:rPr>
                <w:color w:val="1F3864"/>
              </w:rPr>
              <w:t>£233,714 (18.9%)</w:t>
            </w:r>
          </w:p>
        </w:tc>
      </w:tr>
      <w:tr w:rsidR="008815A8" w14:paraId="4CD297AA" w14:textId="77777777">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AF291" w14:textId="77777777" w:rsidR="008815A8" w:rsidRDefault="00000000">
            <w:pPr>
              <w:spacing w:before="60" w:after="60"/>
            </w:pPr>
            <w:r>
              <w:rPr>
                <w:b/>
                <w:bCs/>
                <w:color w:val="1F3864"/>
              </w:rPr>
              <w:t>Annual budget — 2026 starting position</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3895AB" w14:textId="77777777" w:rsidR="008815A8" w:rsidRDefault="008815A8">
            <w:pPr>
              <w:spacing w:before="60" w:after="60"/>
              <w:jc w:val="right"/>
            </w:pPr>
          </w:p>
        </w:tc>
      </w:tr>
      <w:tr w:rsidR="008815A8" w14:paraId="0EFEA97D"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26BB" w14:textId="77777777" w:rsidR="008815A8" w:rsidRDefault="00000000">
            <w:pPr>
              <w:spacing w:before="60" w:after="60"/>
            </w:pPr>
            <w:r>
              <w:rPr>
                <w:color w:val="1F3864"/>
              </w:rPr>
              <w:t xml:space="preserve">  Owner: net HH income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7A2D6" w14:textId="77777777" w:rsidR="008815A8" w:rsidRDefault="00000000">
            <w:pPr>
              <w:spacing w:before="60" w:after="60"/>
              <w:jc w:val="right"/>
            </w:pPr>
            <w:r>
              <w:rPr>
                <w:color w:val="1F3864"/>
              </w:rPr>
              <w:t>£55,149</w:t>
            </w:r>
          </w:p>
        </w:tc>
      </w:tr>
      <w:tr w:rsidR="008815A8" w14:paraId="2C890379"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8C74C" w14:textId="77777777" w:rsidR="008815A8" w:rsidRDefault="00000000">
            <w:pPr>
              <w:spacing w:before="60" w:after="60"/>
            </w:pPr>
            <w:r>
              <w:rPr>
                <w:color w:val="1F3864"/>
              </w:rPr>
              <w:t xml:space="preserve">  Owner: investable surplus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292DC" w14:textId="77777777" w:rsidR="008815A8" w:rsidRDefault="00000000">
            <w:pPr>
              <w:spacing w:before="60" w:after="60"/>
              <w:jc w:val="right"/>
            </w:pPr>
            <w:r>
              <w:rPr>
                <w:color w:val="1F3864"/>
              </w:rPr>
              <w:t>£15,004</w:t>
            </w:r>
          </w:p>
        </w:tc>
      </w:tr>
      <w:tr w:rsidR="008815A8" w14:paraId="288753C4"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150C" w14:textId="77777777" w:rsidR="008815A8" w:rsidRDefault="00000000">
            <w:pPr>
              <w:spacing w:before="60" w:after="60"/>
            </w:pPr>
            <w:r>
              <w:rPr>
                <w:color w:val="1F3864"/>
              </w:rPr>
              <w:t xml:space="preserve">  Renter: net HH income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F29E6" w14:textId="77777777" w:rsidR="008815A8" w:rsidRDefault="00000000">
            <w:pPr>
              <w:spacing w:before="60" w:after="60"/>
              <w:jc w:val="right"/>
            </w:pPr>
            <w:r>
              <w:rPr>
                <w:color w:val="1F3864"/>
              </w:rPr>
              <w:t>£40,231</w:t>
            </w:r>
          </w:p>
        </w:tc>
      </w:tr>
      <w:tr w:rsidR="008815A8" w14:paraId="4FB06CF2" w14:textId="77777777">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55FBD" w14:textId="77777777" w:rsidR="008815A8" w:rsidRDefault="00000000">
            <w:pPr>
              <w:spacing w:before="60" w:after="60"/>
            </w:pPr>
            <w:r>
              <w:rPr>
                <w:color w:val="1F3864"/>
              </w:rPr>
              <w:t xml:space="preserve">  Renter: investable surplus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D82F" w14:textId="77777777" w:rsidR="008815A8" w:rsidRDefault="00000000">
            <w:pPr>
              <w:spacing w:before="60" w:after="60"/>
              <w:jc w:val="right"/>
            </w:pPr>
            <w:r>
              <w:rPr>
                <w:color w:val="1F3864"/>
              </w:rPr>
              <w:t>£4,828</w:t>
            </w:r>
          </w:p>
        </w:tc>
      </w:tr>
    </w:tbl>
    <w:p w14:paraId="3E507301" w14:textId="77777777" w:rsidR="008815A8" w:rsidRDefault="008815A8">
      <w:pPr>
        <w:spacing w:before="100" w:after="80" w:line="276" w:lineRule="auto"/>
      </w:pPr>
    </w:p>
    <w:p w14:paraId="2F58C734" w14:textId="77777777" w:rsidR="008815A8" w:rsidRDefault="00000000">
      <w:pPr>
        <w:pStyle w:val="Heading2"/>
        <w:pBdr>
          <w:bottom w:val="single" w:sz="6" w:space="4" w:color="2E75B6"/>
        </w:pBdr>
      </w:pPr>
      <w:r>
        <w:t>13. Limitations and Caveats</w:t>
      </w:r>
    </w:p>
    <w:p w14:paraId="7BDEE78F" w14:textId="77777777" w:rsidR="008815A8" w:rsidRDefault="00000000">
      <w:pPr>
        <w:pStyle w:val="Heading3"/>
      </w:pPr>
      <w:r>
        <w:t>Binary tenure assumption</w:t>
      </w:r>
    </w:p>
    <w:p w14:paraId="316658B4" w14:textId="77777777" w:rsidR="008815A8" w:rsidRDefault="00000000">
      <w:pPr>
        <w:spacing w:before="60" w:after="60" w:line="288" w:lineRule="auto"/>
      </w:pPr>
      <w:r>
        <w:rPr>
          <w:color w:val="000000"/>
        </w:rPr>
        <w:t>The model assigns permanent tenure status based on current position at age 30–39. In practice, some renters do go on to buy (though at declining rates among recent cohorts), and some owners sell and return to renting. The binary assumption is designed as an upper bound on polarisation rather than a probabilistic forecast.</w:t>
      </w:r>
    </w:p>
    <w:p w14:paraId="3E65BFB1" w14:textId="77777777" w:rsidR="008815A8" w:rsidRDefault="00000000">
      <w:pPr>
        <w:pStyle w:val="Heading3"/>
      </w:pPr>
      <w:r>
        <w:t>Fixed pension contribution rate</w:t>
      </w:r>
    </w:p>
    <w:p w14:paraId="6077BC05" w14:textId="77777777" w:rsidR="008815A8" w:rsidRDefault="00000000">
      <w:pPr>
        <w:spacing w:before="60" w:after="60" w:line="288" w:lineRule="auto"/>
      </w:pPr>
      <w:r>
        <w:rPr>
          <w:color w:val="000000"/>
        </w:rPr>
        <w:t>A uniform 8% combined contribution rate is applied to all households with a positive investable surplus. In reality, contribution rates vary substantially by employer type, industry and individual choice, and many lower-income renters may not be enrolled in any pension. This assumption likely overstates pension wealth accumulation for renters.</w:t>
      </w:r>
    </w:p>
    <w:p w14:paraId="6C74FA09" w14:textId="77777777" w:rsidR="008815A8" w:rsidRDefault="00000000">
      <w:pPr>
        <w:pStyle w:val="Heading3"/>
      </w:pPr>
      <w:r>
        <w:t>Income treated as flat in real terms relative to consumption</w:t>
      </w:r>
    </w:p>
    <w:p w14:paraId="5EA90C86" w14:textId="77777777" w:rsidR="008815A8" w:rsidRDefault="00000000">
      <w:pPr>
        <w:spacing w:before="60" w:after="60" w:line="288" w:lineRule="auto"/>
      </w:pPr>
      <w:r>
        <w:rPr>
          <w:color w:val="000000"/>
        </w:rPr>
        <w:t>Income grows at 0.47% per year in real terms while consumption grows at 3.0%. Over a 30-year horizon this means consumption catches up substantially with income, compressing surpluses over time. This is a deliberate conservative assumption — it reflects the empirical historical relationship between these two series — but it means the model is sensitive to the consumption inflation assumption.</w:t>
      </w:r>
    </w:p>
    <w:p w14:paraId="16526831" w14:textId="77777777" w:rsidR="008815A8" w:rsidRDefault="00000000">
      <w:pPr>
        <w:pStyle w:val="Heading3"/>
      </w:pPr>
      <w:r>
        <w:t>No modelling of housing equity release or drawdown</w:t>
      </w:r>
    </w:p>
    <w:p w14:paraId="7273EEC6" w14:textId="77777777" w:rsidR="008815A8" w:rsidRDefault="00000000">
      <w:pPr>
        <w:spacing w:before="60" w:after="60" w:line="288" w:lineRule="auto"/>
      </w:pPr>
      <w:r>
        <w:rPr>
          <w:color w:val="000000"/>
        </w:rPr>
        <w:t xml:space="preserve">The model projects retirement wealth stocks but does not model how that wealth is drawn down in retirement. For owners, the property wealth figure assumes the property remains owned and </w:t>
      </w:r>
      <w:r>
        <w:rPr>
          <w:color w:val="000000"/>
        </w:rPr>
        <w:lastRenderedPageBreak/>
        <w:t>unencumbered at retirement; for renters, there is no modelling of housing costs in retirement (which would further disadvantage them relative to outright owners).</w:t>
      </w:r>
    </w:p>
    <w:p w14:paraId="649C0D00" w14:textId="77777777" w:rsidR="008815A8" w:rsidRDefault="00000000">
      <w:pPr>
        <w:pStyle w:val="Heading3"/>
      </w:pPr>
      <w:r>
        <w:t>WAS age bands</w:t>
      </w:r>
    </w:p>
    <w:p w14:paraId="51ABA891" w14:textId="77777777" w:rsidR="008815A8" w:rsidRDefault="00000000">
      <w:pPr>
        <w:spacing w:before="60" w:after="60" w:line="288" w:lineRule="auto"/>
      </w:pPr>
      <w:r>
        <w:rPr>
          <w:color w:val="000000"/>
        </w:rPr>
        <w:t>The WAS uses 5-year age bands rather than exact ages. All households in bands 7 and 8 are assigned the band midpoint (32 or 37 respectively) for the projection horizon calculation. This introduces a classification error of up to ±2.5 years per household, with a larger effect for those near the band boundaries.</w:t>
      </w:r>
    </w:p>
    <w:p w14:paraId="416EAE46" w14:textId="77777777" w:rsidR="008815A8" w:rsidRDefault="00000000">
      <w:pPr>
        <w:pStyle w:val="Heading3"/>
      </w:pPr>
      <w:r>
        <w:t>Survey weights</w:t>
      </w:r>
    </w:p>
    <w:p w14:paraId="4E2086F9" w14:textId="77777777" w:rsidR="008815A8" w:rsidRDefault="00000000">
      <w:pPr>
        <w:spacing w:before="60" w:after="60" w:line="288" w:lineRule="auto"/>
      </w:pPr>
      <w:r>
        <w:rPr>
          <w:color w:val="000000"/>
        </w:rPr>
        <w:t>All results use the WAS cross-sectional household weight (R8xshhwgt), which makes results representative of the British household population. However, the WAS is known to under-sample the wealthiest households, which may modestly understate the gap at the top of the distribution.</w:t>
      </w:r>
    </w:p>
    <w:p w14:paraId="50E6EC9A" w14:textId="77777777" w:rsidR="008815A8" w:rsidRDefault="00000000">
      <w:r>
        <w:br w:type="page"/>
      </w:r>
    </w:p>
    <w:p w14:paraId="460FAA3C" w14:textId="77777777" w:rsidR="008815A8" w:rsidRDefault="00000000">
      <w:pPr>
        <w:pStyle w:val="Heading2"/>
        <w:pBdr>
          <w:bottom w:val="single" w:sz="6" w:space="4" w:color="2E75B6"/>
        </w:pBdr>
      </w:pPr>
      <w:r>
        <w:lastRenderedPageBreak/>
        <w:t>Appendix: Key Assumptions Summary</w:t>
      </w:r>
    </w:p>
    <w:p w14:paraId="620294EA" w14:textId="77777777" w:rsidR="008815A8" w:rsidRDefault="008815A8">
      <w:pPr>
        <w:spacing w:before="60" w:after="80" w:line="276" w:lineRule="auto"/>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760"/>
      </w:tblGrid>
      <w:tr w:rsidR="008815A8" w14:paraId="5C8F5186"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17BC09" w14:textId="77777777" w:rsidR="008815A8" w:rsidRDefault="00000000">
            <w:pPr>
              <w:spacing w:before="60" w:after="60"/>
            </w:pPr>
            <w:r>
              <w:rPr>
                <w:b/>
                <w:bCs/>
                <w:color w:val="FFFFFF"/>
              </w:rPr>
              <w:t>Assumption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9575BE" w14:textId="77777777" w:rsidR="008815A8" w:rsidRDefault="00000000">
            <w:pPr>
              <w:spacing w:before="60" w:after="60"/>
            </w:pPr>
            <w:r>
              <w:rPr>
                <w:b/>
                <w:bCs/>
                <w:color w:val="FFFFFF"/>
              </w:rPr>
              <w:t>Value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2D703" w14:textId="77777777" w:rsidR="008815A8" w:rsidRDefault="00000000">
            <w:pPr>
              <w:spacing w:before="60" w:after="60"/>
            </w:pPr>
            <w:r>
              <w:rPr>
                <w:b/>
                <w:bCs/>
                <w:color w:val="FFFFFF"/>
              </w:rPr>
              <w:t>Source / basis</w:t>
            </w:r>
          </w:p>
        </w:tc>
      </w:tr>
      <w:tr w:rsidR="008815A8" w14:paraId="6B1D6A2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76DCE" w14:textId="77777777" w:rsidR="008815A8" w:rsidRDefault="00000000">
            <w:pPr>
              <w:spacing w:before="60" w:after="60"/>
            </w:pPr>
            <w:r>
              <w:rPr>
                <w:color w:val="000000"/>
              </w:rPr>
              <w:t>Model start year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C2F6F" w14:textId="77777777" w:rsidR="008815A8" w:rsidRDefault="00000000">
            <w:pPr>
              <w:spacing w:before="60" w:after="60"/>
            </w:pPr>
            <w:r>
              <w:rPr>
                <w:color w:val="000000"/>
              </w:rPr>
              <w:t>2026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486A0" w14:textId="77777777" w:rsidR="008815A8" w:rsidRDefault="00000000">
            <w:pPr>
              <w:spacing w:before="60" w:after="60"/>
            </w:pPr>
            <w:r>
              <w:rPr>
                <w:color w:val="000000"/>
              </w:rPr>
              <w:t>User-defined</w:t>
            </w:r>
          </w:p>
        </w:tc>
      </w:tr>
      <w:tr w:rsidR="008815A8" w14:paraId="194A430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9B87" w14:textId="77777777" w:rsidR="008815A8" w:rsidRDefault="00000000">
            <w:pPr>
              <w:spacing w:before="60" w:after="60"/>
            </w:pPr>
            <w:r>
              <w:rPr>
                <w:color w:val="000000"/>
              </w:rPr>
              <w:t>Retirement 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6995" w14:textId="77777777" w:rsidR="008815A8" w:rsidRDefault="00000000">
            <w:pPr>
              <w:spacing w:before="60" w:after="60"/>
            </w:pPr>
            <w:r>
              <w:rPr>
                <w:color w:val="000000"/>
              </w:rPr>
              <w:t>67</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31CF3" w14:textId="77777777" w:rsidR="008815A8" w:rsidRDefault="00000000">
            <w:pPr>
              <w:spacing w:before="60" w:after="60"/>
            </w:pPr>
            <w:r>
              <w:rPr>
                <w:color w:val="000000"/>
              </w:rPr>
              <w:t>UK State Pension age</w:t>
            </w:r>
          </w:p>
        </w:tc>
      </w:tr>
      <w:tr w:rsidR="008815A8" w14:paraId="05BB750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98E6C" w14:textId="77777777" w:rsidR="008815A8" w:rsidRDefault="00000000">
            <w:pPr>
              <w:spacing w:before="60" w:after="60"/>
            </w:pPr>
            <w:r>
              <w:rPr>
                <w:color w:val="000000"/>
              </w:rPr>
              <w:t>Cohort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9B841" w14:textId="77777777" w:rsidR="008815A8" w:rsidRDefault="00000000">
            <w:pPr>
              <w:spacing w:before="60" w:after="60"/>
            </w:pPr>
            <w:r>
              <w:rPr>
                <w:color w:val="000000"/>
              </w:rPr>
              <w:t>HRP aged 30–39 (WAS bands 7–8)</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E4220" w14:textId="77777777" w:rsidR="008815A8" w:rsidRDefault="00000000">
            <w:pPr>
              <w:spacing w:before="60" w:after="60"/>
            </w:pPr>
            <w:r>
              <w:rPr>
                <w:color w:val="000000"/>
              </w:rPr>
              <w:t>Median FTB age in UK ≈ 33–34</w:t>
            </w:r>
          </w:p>
        </w:tc>
      </w:tr>
      <w:tr w:rsidR="008815A8" w14:paraId="766E34F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6731B" w14:textId="77777777" w:rsidR="008815A8" w:rsidRDefault="00000000">
            <w:pPr>
              <w:spacing w:before="60" w:after="60"/>
            </w:pPr>
            <w:r>
              <w:rPr>
                <w:color w:val="000000"/>
              </w:rPr>
              <w:t>Uplift base year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7E31" w14:textId="77777777" w:rsidR="008815A8" w:rsidRDefault="00000000">
            <w:pPr>
              <w:spacing w:before="60" w:after="60"/>
            </w:pPr>
            <w:r>
              <w:rPr>
                <w:color w:val="000000"/>
              </w:rPr>
              <w:t>2021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7FE29" w14:textId="77777777" w:rsidR="008815A8" w:rsidRDefault="00000000">
            <w:pPr>
              <w:spacing w:before="60" w:after="60"/>
            </w:pPr>
            <w:r>
              <w:rPr>
                <w:color w:val="000000"/>
              </w:rPr>
              <w:t>WAS R8 published reference year</w:t>
            </w:r>
          </w:p>
        </w:tc>
      </w:tr>
      <w:tr w:rsidR="008815A8" w14:paraId="5394449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40D20" w14:textId="77777777" w:rsidR="008815A8" w:rsidRDefault="00000000">
            <w:pPr>
              <w:spacing w:before="60" w:after="60"/>
            </w:pPr>
            <w:r>
              <w:rPr>
                <w:color w:val="000000"/>
              </w:rPr>
              <w:t>House price uplift (2021→2026)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87372" w14:textId="77777777" w:rsidR="008815A8" w:rsidRDefault="00000000">
            <w:pPr>
              <w:spacing w:before="60" w:after="60"/>
            </w:pPr>
            <w:r>
              <w:rPr>
                <w:color w:val="000000"/>
              </w:rPr>
              <w:t>×1.184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1A8C5" w14:textId="77777777" w:rsidR="008815A8" w:rsidRDefault="00000000">
            <w:pPr>
              <w:spacing w:before="60" w:after="60"/>
            </w:pPr>
            <w:r>
              <w:rPr>
                <w:color w:val="000000"/>
              </w:rPr>
              <w:t>ONS UK HPI</w:t>
            </w:r>
          </w:p>
        </w:tc>
      </w:tr>
      <w:tr w:rsidR="008815A8" w14:paraId="68F0600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72E96" w14:textId="77777777" w:rsidR="008815A8" w:rsidRDefault="00000000">
            <w:pPr>
              <w:spacing w:before="60" w:after="60"/>
            </w:pPr>
            <w:r>
              <w:rPr>
                <w:color w:val="000000"/>
              </w:rPr>
              <w:t>Wealth uplift (2021→2026)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32E5F" w14:textId="77777777" w:rsidR="008815A8" w:rsidRDefault="00000000">
            <w:pPr>
              <w:spacing w:before="60" w:after="60"/>
            </w:pPr>
            <w:r>
              <w:rPr>
                <w:color w:val="000000"/>
              </w:rPr>
              <w:t>×1.116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D259" w14:textId="77777777" w:rsidR="008815A8" w:rsidRDefault="00000000">
            <w:pPr>
              <w:spacing w:before="60" w:after="60"/>
            </w:pPr>
            <w:r>
              <w:rPr>
                <w:color w:val="000000"/>
              </w:rPr>
              <w:t>ONS WAS median household wealth</w:t>
            </w:r>
          </w:p>
        </w:tc>
      </w:tr>
      <w:tr w:rsidR="008815A8" w14:paraId="000A24E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088CA" w14:textId="77777777" w:rsidR="008815A8" w:rsidRDefault="00000000">
            <w:pPr>
              <w:spacing w:before="60" w:after="60"/>
            </w:pPr>
            <w:r>
              <w:rPr>
                <w:color w:val="000000"/>
              </w:rPr>
              <w:t>Income uplift (2021→2026)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9994" w14:textId="77777777" w:rsidR="008815A8" w:rsidRDefault="00000000">
            <w:pPr>
              <w:spacing w:before="60" w:after="60"/>
            </w:pPr>
            <w:r>
              <w:rPr>
                <w:color w:val="000000"/>
              </w:rPr>
              <w:t>×1.196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CA7B3" w14:textId="77777777" w:rsidR="008815A8" w:rsidRDefault="00000000">
            <w:pPr>
              <w:spacing w:before="60" w:after="60"/>
            </w:pPr>
            <w:r>
              <w:rPr>
                <w:color w:val="000000"/>
              </w:rPr>
              <w:t>ONS disposable income per head</w:t>
            </w:r>
          </w:p>
        </w:tc>
      </w:tr>
      <w:tr w:rsidR="008815A8" w14:paraId="73AF72A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0944" w14:textId="77777777" w:rsidR="008815A8" w:rsidRDefault="00000000">
            <w:pPr>
              <w:spacing w:before="60" w:after="60"/>
            </w:pPr>
            <w:r>
              <w:rPr>
                <w:color w:val="000000"/>
              </w:rPr>
              <w:t>Real HPI growth (projection)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B2A87" w14:textId="77777777" w:rsidR="008815A8" w:rsidRDefault="00000000">
            <w:pPr>
              <w:spacing w:before="60" w:after="60"/>
            </w:pPr>
            <w:r>
              <w:rPr>
                <w:color w:val="000000"/>
              </w:rPr>
              <w:t>+1.62%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B66B0" w14:textId="77777777" w:rsidR="008815A8" w:rsidRDefault="00000000">
            <w:pPr>
              <w:spacing w:before="60" w:after="60"/>
            </w:pPr>
            <w:r>
              <w:rPr>
                <w:color w:val="000000"/>
              </w:rPr>
              <w:t>CPI-deflated CAGR 2009–2025</w:t>
            </w:r>
          </w:p>
        </w:tc>
      </w:tr>
      <w:tr w:rsidR="008815A8" w14:paraId="5DA2EA5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DA511" w14:textId="77777777" w:rsidR="008815A8" w:rsidRDefault="00000000">
            <w:pPr>
              <w:spacing w:before="60" w:after="60"/>
            </w:pPr>
            <w:r>
              <w:rPr>
                <w:color w:val="000000"/>
              </w:rPr>
              <w:t>Real income growth (projection)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24C86" w14:textId="77777777" w:rsidR="008815A8" w:rsidRDefault="00000000">
            <w:pPr>
              <w:spacing w:before="60" w:after="60"/>
            </w:pPr>
            <w:r>
              <w:rPr>
                <w:color w:val="000000"/>
              </w:rPr>
              <w:t>+0.47%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E983B" w14:textId="77777777" w:rsidR="008815A8" w:rsidRDefault="00000000">
            <w:pPr>
              <w:spacing w:before="60" w:after="60"/>
            </w:pPr>
            <w:r>
              <w:rPr>
                <w:color w:val="000000"/>
              </w:rPr>
              <w:t>CPI-deflated CAGR 2009–2025</w:t>
            </w:r>
          </w:p>
        </w:tc>
      </w:tr>
      <w:tr w:rsidR="008815A8" w14:paraId="56BBB20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4324A" w14:textId="77777777" w:rsidR="008815A8" w:rsidRDefault="00000000">
            <w:pPr>
              <w:spacing w:before="60" w:after="60"/>
            </w:pPr>
            <w:r>
              <w:rPr>
                <w:color w:val="000000"/>
              </w:rPr>
              <w:t>Real wealth growth — physical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A2D4F" w14:textId="77777777" w:rsidR="008815A8" w:rsidRDefault="00000000">
            <w:pPr>
              <w:spacing w:before="60" w:after="60"/>
            </w:pPr>
            <w:r>
              <w:rPr>
                <w:color w:val="000000"/>
              </w:rPr>
              <w:t>−0.08%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DCCF" w14:textId="77777777" w:rsidR="008815A8" w:rsidRDefault="00000000">
            <w:pPr>
              <w:spacing w:before="60" w:after="60"/>
            </w:pPr>
            <w:r>
              <w:rPr>
                <w:color w:val="000000"/>
              </w:rPr>
              <w:t>CPI-deflated CAGR 2009–2021</w:t>
            </w:r>
          </w:p>
        </w:tc>
      </w:tr>
      <w:tr w:rsidR="008815A8" w14:paraId="2EBFFA7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8FB7F" w14:textId="77777777" w:rsidR="008815A8" w:rsidRDefault="00000000">
            <w:pPr>
              <w:spacing w:before="60" w:after="60"/>
            </w:pPr>
            <w:r>
              <w:rPr>
                <w:color w:val="000000"/>
              </w:rPr>
              <w:t>Financial savings return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5323E" w14:textId="77777777" w:rsidR="008815A8" w:rsidRDefault="00000000">
            <w:pPr>
              <w:spacing w:before="60" w:after="60"/>
            </w:pPr>
            <w:r>
              <w:rPr>
                <w:color w:val="000000"/>
              </w:rPr>
              <w:t>+3.50%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55F26" w14:textId="77777777" w:rsidR="008815A8" w:rsidRDefault="00000000">
            <w:pPr>
              <w:spacing w:before="60" w:after="60"/>
            </w:pPr>
            <w:r>
              <w:rPr>
                <w:color w:val="000000"/>
              </w:rPr>
              <w:t>HM Treasury Green Book / balanced fund</w:t>
            </w:r>
          </w:p>
        </w:tc>
      </w:tr>
      <w:tr w:rsidR="008815A8" w14:paraId="3922582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96468" w14:textId="77777777" w:rsidR="008815A8" w:rsidRDefault="00000000">
            <w:pPr>
              <w:spacing w:before="60" w:after="60"/>
            </w:pPr>
            <w:r>
              <w:rPr>
                <w:color w:val="000000"/>
              </w:rPr>
              <w:t>Pension pot return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D98D7" w14:textId="77777777" w:rsidR="008815A8" w:rsidRDefault="00000000">
            <w:pPr>
              <w:spacing w:before="60" w:after="60"/>
            </w:pPr>
            <w:r>
              <w:rPr>
                <w:color w:val="000000"/>
              </w:rPr>
              <w:t>+3.00%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D2648" w14:textId="77777777" w:rsidR="008815A8" w:rsidRDefault="00000000">
            <w:pPr>
              <w:spacing w:before="60" w:after="60"/>
            </w:pPr>
            <w:r>
              <w:rPr>
                <w:color w:val="000000"/>
              </w:rPr>
              <w:t>Conservative DC return assumption</w:t>
            </w:r>
          </w:p>
        </w:tc>
      </w:tr>
      <w:tr w:rsidR="008815A8" w14:paraId="59EEBA9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C61EC" w14:textId="77777777" w:rsidR="008815A8" w:rsidRDefault="00000000">
            <w:pPr>
              <w:spacing w:before="60" w:after="60"/>
            </w:pPr>
            <w:r>
              <w:rPr>
                <w:color w:val="000000"/>
              </w:rPr>
              <w:t>Consumption inflation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59CD0" w14:textId="77777777" w:rsidR="008815A8" w:rsidRDefault="00000000">
            <w:pPr>
              <w:spacing w:before="60" w:after="60"/>
            </w:pPr>
            <w:r>
              <w:rPr>
                <w:color w:val="000000"/>
              </w:rPr>
              <w:t>+3.00%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D97A0" w14:textId="77777777" w:rsidR="008815A8" w:rsidRDefault="00000000">
            <w:pPr>
              <w:spacing w:before="60" w:after="60"/>
            </w:pPr>
            <w:r>
              <w:rPr>
                <w:color w:val="000000"/>
              </w:rPr>
              <w:t>Fixed assumption; above CPI</w:t>
            </w:r>
          </w:p>
        </w:tc>
      </w:tr>
      <w:tr w:rsidR="008815A8" w14:paraId="1A58ED8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8975C" w14:textId="77777777" w:rsidR="008815A8" w:rsidRDefault="00000000">
            <w:pPr>
              <w:spacing w:before="60" w:after="60"/>
            </w:pPr>
            <w:r>
              <w:rPr>
                <w:color w:val="000000"/>
              </w:rPr>
              <w:t>Pension contribution rate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364DC" w14:textId="77777777" w:rsidR="008815A8" w:rsidRDefault="00000000">
            <w:pPr>
              <w:spacing w:before="60" w:after="60"/>
            </w:pPr>
            <w:r>
              <w:rPr>
                <w:color w:val="000000"/>
              </w:rPr>
              <w:t>8% of surplus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12DDA" w14:textId="77777777" w:rsidR="008815A8" w:rsidRDefault="00000000">
            <w:pPr>
              <w:spacing w:before="60" w:after="60"/>
            </w:pPr>
            <w:r>
              <w:rPr>
                <w:color w:val="000000"/>
              </w:rPr>
              <w:t>Auto-enrolment minimum (combined)</w:t>
            </w:r>
          </w:p>
        </w:tc>
      </w:tr>
      <w:tr w:rsidR="008815A8" w14:paraId="5DE5586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DD62B" w14:textId="77777777" w:rsidR="008815A8" w:rsidRDefault="00000000">
            <w:pPr>
              <w:spacing w:before="60" w:after="60"/>
            </w:pPr>
            <w:r>
              <w:rPr>
                <w:color w:val="000000"/>
              </w:rPr>
              <w:t>Private rent ratio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E264F" w14:textId="77777777" w:rsidR="008815A8" w:rsidRDefault="00000000">
            <w:pPr>
              <w:spacing w:before="60" w:after="60"/>
            </w:pPr>
            <w:r>
              <w:rPr>
                <w:color w:val="000000"/>
              </w:rPr>
              <w:t>34% of gross income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73BF" w14:textId="77777777" w:rsidR="008815A8" w:rsidRDefault="00000000">
            <w:pPr>
              <w:spacing w:before="60" w:after="60"/>
            </w:pPr>
            <w:r>
              <w:rPr>
                <w:color w:val="000000"/>
              </w:rPr>
              <w:t>ONS Annex Table 2.5, 2023–24</w:t>
            </w:r>
          </w:p>
        </w:tc>
      </w:tr>
      <w:tr w:rsidR="008815A8" w14:paraId="7684D04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E38F8" w14:textId="77777777" w:rsidR="008815A8" w:rsidRDefault="00000000">
            <w:pPr>
              <w:spacing w:before="60" w:after="60"/>
            </w:pPr>
            <w:r>
              <w:rPr>
                <w:color w:val="000000"/>
              </w:rPr>
              <w:t>Social rent ratio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6718" w14:textId="77777777" w:rsidR="008815A8" w:rsidRDefault="00000000">
            <w:pPr>
              <w:spacing w:before="60" w:after="60"/>
            </w:pPr>
            <w:r>
              <w:rPr>
                <w:color w:val="000000"/>
              </w:rPr>
              <w:t>28% of gross income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BFE3B" w14:textId="77777777" w:rsidR="008815A8" w:rsidRDefault="00000000">
            <w:pPr>
              <w:spacing w:before="60" w:after="60"/>
            </w:pPr>
            <w:r>
              <w:rPr>
                <w:color w:val="000000"/>
              </w:rPr>
              <w:t>ONS Annex Table 2.5, 2023–24</w:t>
            </w:r>
          </w:p>
        </w:tc>
      </w:tr>
      <w:tr w:rsidR="008815A8" w14:paraId="63F6B4E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84D59" w14:textId="77777777" w:rsidR="008815A8" w:rsidRDefault="00000000">
            <w:pPr>
              <w:spacing w:before="60" w:after="60"/>
            </w:pPr>
            <w:r>
              <w:rPr>
                <w:color w:val="000000"/>
              </w:rPr>
              <w:t>Mortgage rate fallback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C49D6" w14:textId="77777777" w:rsidR="008815A8" w:rsidRDefault="00000000">
            <w:pPr>
              <w:spacing w:before="60" w:after="60"/>
            </w:pPr>
            <w:r>
              <w:rPr>
                <w:color w:val="000000"/>
              </w:rPr>
              <w:t>5.0%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9645" w14:textId="77777777" w:rsidR="008815A8" w:rsidRDefault="00000000">
            <w:pPr>
              <w:spacing w:before="60" w:after="60"/>
            </w:pPr>
            <w:r>
              <w:rPr>
                <w:color w:val="000000"/>
              </w:rPr>
              <w:t>Current market rate (2024–25)</w:t>
            </w:r>
          </w:p>
        </w:tc>
      </w:tr>
      <w:tr w:rsidR="008815A8" w14:paraId="23A80FE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C1AF" w14:textId="77777777" w:rsidR="008815A8" w:rsidRDefault="00000000">
            <w:pPr>
              <w:spacing w:before="60" w:after="60"/>
            </w:pPr>
            <w:r>
              <w:rPr>
                <w:color w:val="000000"/>
              </w:rPr>
              <w:t>Mortgage term fallback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12027" w14:textId="77777777" w:rsidR="008815A8" w:rsidRDefault="00000000">
            <w:pPr>
              <w:spacing w:before="60" w:after="60"/>
            </w:pPr>
            <w:r>
              <w:rPr>
                <w:color w:val="000000"/>
              </w:rPr>
              <w:t>25 years remaining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B603F" w14:textId="77777777" w:rsidR="008815A8" w:rsidRDefault="00000000">
            <w:pPr>
              <w:spacing w:before="60" w:after="60"/>
            </w:pPr>
            <w:r>
              <w:rPr>
                <w:color w:val="000000"/>
              </w:rPr>
              <w:t>Typical FTB mortgage term</w:t>
            </w:r>
          </w:p>
        </w:tc>
      </w:tr>
      <w:tr w:rsidR="008815A8" w14:paraId="0393E05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E18C" w14:textId="77777777" w:rsidR="008815A8" w:rsidRDefault="00000000">
            <w:pPr>
              <w:spacing w:before="60" w:after="60"/>
            </w:pPr>
            <w:r>
              <w:rPr>
                <w:color w:val="000000"/>
              </w:rPr>
              <w:t>Mortgage floor (London)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76D0F" w14:textId="77777777" w:rsidR="008815A8" w:rsidRDefault="00000000">
            <w:pPr>
              <w:spacing w:before="60" w:after="60"/>
            </w:pPr>
            <w:r>
              <w:rPr>
                <w:color w:val="000000"/>
              </w:rPr>
              <w:t>£16,484/yr (£317 × 52)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FB0F1" w14:textId="77777777" w:rsidR="008815A8" w:rsidRDefault="00000000">
            <w:pPr>
              <w:spacing w:before="60" w:after="60"/>
            </w:pPr>
            <w:r>
              <w:rPr>
                <w:color w:val="000000"/>
              </w:rPr>
              <w:t>ONS Annex Table 2.3</w:t>
            </w:r>
          </w:p>
        </w:tc>
      </w:tr>
      <w:tr w:rsidR="008815A8" w14:paraId="1D9E5EC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8528" w14:textId="77777777" w:rsidR="008815A8" w:rsidRDefault="00000000">
            <w:pPr>
              <w:spacing w:before="60" w:after="60"/>
            </w:pPr>
            <w:r>
              <w:rPr>
                <w:color w:val="000000"/>
              </w:rPr>
              <w:lastRenderedPageBreak/>
              <w:t>Mortgage floor (non-London)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B2CAA" w14:textId="77777777" w:rsidR="008815A8" w:rsidRDefault="00000000">
            <w:pPr>
              <w:spacing w:before="60" w:after="60"/>
            </w:pPr>
            <w:r>
              <w:rPr>
                <w:color w:val="000000"/>
              </w:rPr>
              <w:t>£10,868/yr (£209 × 52)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6D7F" w14:textId="77777777" w:rsidR="008815A8" w:rsidRDefault="00000000">
            <w:pPr>
              <w:spacing w:before="60" w:after="60"/>
            </w:pPr>
            <w:r>
              <w:rPr>
                <w:color w:val="000000"/>
              </w:rPr>
              <w:t>ONS Annex Table 2.3</w:t>
            </w:r>
          </w:p>
        </w:tc>
      </w:tr>
      <w:tr w:rsidR="008815A8" w14:paraId="2234F80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7CB1E" w14:textId="77777777" w:rsidR="008815A8" w:rsidRDefault="00000000">
            <w:pPr>
              <w:spacing w:before="60" w:after="60"/>
            </w:pPr>
            <w:r>
              <w:rPr>
                <w:color w:val="000000"/>
              </w:rPr>
              <w:t>Discount rate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82646" w14:textId="77777777" w:rsidR="008815A8" w:rsidRDefault="00000000">
            <w:pPr>
              <w:spacing w:before="60" w:after="60"/>
            </w:pPr>
            <w:r>
              <w:rPr>
                <w:color w:val="000000"/>
              </w:rPr>
              <w:t>3.5% p.a.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1263D" w14:textId="77777777" w:rsidR="008815A8" w:rsidRDefault="00000000">
            <w:pPr>
              <w:spacing w:before="60" w:after="60"/>
            </w:pPr>
            <w:r>
              <w:rPr>
                <w:color w:val="000000"/>
              </w:rPr>
              <w:t>HM Treasury Green Book</w:t>
            </w:r>
          </w:p>
        </w:tc>
      </w:tr>
      <w:tr w:rsidR="008815A8" w14:paraId="083DD7E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D21B4" w14:textId="77777777" w:rsidR="008815A8" w:rsidRDefault="00000000">
            <w:pPr>
              <w:spacing w:before="60" w:after="60"/>
            </w:pPr>
            <w:r>
              <w:rPr>
                <w:color w:val="000000"/>
              </w:rPr>
              <w:t>Survey weight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D075" w14:textId="77777777" w:rsidR="008815A8" w:rsidRDefault="00000000">
            <w:pPr>
              <w:spacing w:before="60" w:after="60"/>
            </w:pPr>
            <w:r>
              <w:rPr>
                <w:color w:val="000000"/>
              </w:rPr>
              <w:t>R8xshhwgt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D8B7" w14:textId="77777777" w:rsidR="008815A8" w:rsidRDefault="00000000">
            <w:pPr>
              <w:spacing w:before="60" w:after="60"/>
            </w:pPr>
            <w:r>
              <w:rPr>
                <w:color w:val="000000"/>
              </w:rPr>
              <w:t>WAS cross-sectional weight</w:t>
            </w:r>
          </w:p>
        </w:tc>
      </w:tr>
    </w:tbl>
    <w:p w14:paraId="478F555C" w14:textId="77777777" w:rsidR="008815A8" w:rsidRDefault="008815A8">
      <w:pPr>
        <w:spacing w:before="240" w:after="80" w:line="276" w:lineRule="auto"/>
      </w:pPr>
    </w:p>
    <w:p w14:paraId="60CA91F9" w14:textId="77777777" w:rsidR="008815A8" w:rsidRDefault="00000000">
      <w:pPr>
        <w:pBdr>
          <w:top w:val="single" w:sz="4" w:space="0" w:color="CCCCCC"/>
        </w:pBdr>
        <w:spacing w:before="120" w:after="60"/>
      </w:pPr>
      <w:r>
        <w:rPr>
          <w:i/>
          <w:iCs/>
          <w:color w:val="595959"/>
          <w:sz w:val="18"/>
          <w:szCs w:val="18"/>
        </w:rPr>
        <w:t>This methodology note was prepared to accompany the Wealth Gap Modelling output. The Python analysis code (was_wealth_gap_analysis_v4.py) is available separately and implements all steps described here.</w:t>
      </w:r>
    </w:p>
    <w:sectPr w:rsidR="008815A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E3D8A"/>
    <w:multiLevelType w:val="hybridMultilevel"/>
    <w:tmpl w:val="413E67A2"/>
    <w:lvl w:ilvl="0" w:tplc="135AA5E8">
      <w:start w:val="1"/>
      <w:numFmt w:val="bullet"/>
      <w:lvlText w:val="•"/>
      <w:lvlJc w:val="left"/>
      <w:pPr>
        <w:ind w:left="720" w:hanging="360"/>
      </w:pPr>
    </w:lvl>
    <w:lvl w:ilvl="1" w:tplc="5994DCA0">
      <w:start w:val="1"/>
      <w:numFmt w:val="bullet"/>
      <w:lvlText w:val="◦"/>
      <w:lvlJc w:val="left"/>
      <w:pPr>
        <w:ind w:left="1080" w:hanging="360"/>
      </w:pPr>
    </w:lvl>
    <w:lvl w:ilvl="2" w:tplc="873441C0">
      <w:numFmt w:val="decimal"/>
      <w:lvlText w:val=""/>
      <w:lvlJc w:val="left"/>
    </w:lvl>
    <w:lvl w:ilvl="3" w:tplc="DA0CAD16">
      <w:numFmt w:val="decimal"/>
      <w:lvlText w:val=""/>
      <w:lvlJc w:val="left"/>
    </w:lvl>
    <w:lvl w:ilvl="4" w:tplc="AEF8EB3C">
      <w:numFmt w:val="decimal"/>
      <w:lvlText w:val=""/>
      <w:lvlJc w:val="left"/>
    </w:lvl>
    <w:lvl w:ilvl="5" w:tplc="12906074">
      <w:numFmt w:val="decimal"/>
      <w:lvlText w:val=""/>
      <w:lvlJc w:val="left"/>
    </w:lvl>
    <w:lvl w:ilvl="6" w:tplc="B9AA288C">
      <w:numFmt w:val="decimal"/>
      <w:lvlText w:val=""/>
      <w:lvlJc w:val="left"/>
    </w:lvl>
    <w:lvl w:ilvl="7" w:tplc="F0FCA2CA">
      <w:numFmt w:val="decimal"/>
      <w:lvlText w:val=""/>
      <w:lvlJc w:val="left"/>
    </w:lvl>
    <w:lvl w:ilvl="8" w:tplc="875EB3E2">
      <w:numFmt w:val="decimal"/>
      <w:lvlText w:val=""/>
      <w:lvlJc w:val="left"/>
    </w:lvl>
  </w:abstractNum>
  <w:abstractNum w:abstractNumId="1" w15:restartNumberingAfterBreak="0">
    <w:nsid w:val="62EE16A8"/>
    <w:multiLevelType w:val="hybridMultilevel"/>
    <w:tmpl w:val="3E00E908"/>
    <w:lvl w:ilvl="0" w:tplc="704C8934">
      <w:start w:val="1"/>
      <w:numFmt w:val="bullet"/>
      <w:lvlText w:val="●"/>
      <w:lvlJc w:val="left"/>
      <w:pPr>
        <w:ind w:left="720" w:hanging="360"/>
      </w:pPr>
    </w:lvl>
    <w:lvl w:ilvl="1" w:tplc="211C9712">
      <w:start w:val="1"/>
      <w:numFmt w:val="bullet"/>
      <w:lvlText w:val="○"/>
      <w:lvlJc w:val="left"/>
      <w:pPr>
        <w:ind w:left="1440" w:hanging="360"/>
      </w:pPr>
    </w:lvl>
    <w:lvl w:ilvl="2" w:tplc="16D2BF60">
      <w:start w:val="1"/>
      <w:numFmt w:val="bullet"/>
      <w:lvlText w:val="■"/>
      <w:lvlJc w:val="left"/>
      <w:pPr>
        <w:ind w:left="2160" w:hanging="360"/>
      </w:pPr>
    </w:lvl>
    <w:lvl w:ilvl="3" w:tplc="53520534">
      <w:start w:val="1"/>
      <w:numFmt w:val="bullet"/>
      <w:lvlText w:val="●"/>
      <w:lvlJc w:val="left"/>
      <w:pPr>
        <w:ind w:left="2880" w:hanging="360"/>
      </w:pPr>
    </w:lvl>
    <w:lvl w:ilvl="4" w:tplc="E44A92F6">
      <w:start w:val="1"/>
      <w:numFmt w:val="bullet"/>
      <w:lvlText w:val="○"/>
      <w:lvlJc w:val="left"/>
      <w:pPr>
        <w:ind w:left="3600" w:hanging="360"/>
      </w:pPr>
    </w:lvl>
    <w:lvl w:ilvl="5" w:tplc="61F692EC">
      <w:start w:val="1"/>
      <w:numFmt w:val="bullet"/>
      <w:lvlText w:val="■"/>
      <w:lvlJc w:val="left"/>
      <w:pPr>
        <w:ind w:left="4320" w:hanging="360"/>
      </w:pPr>
    </w:lvl>
    <w:lvl w:ilvl="6" w:tplc="DC82EAF2">
      <w:start w:val="1"/>
      <w:numFmt w:val="bullet"/>
      <w:lvlText w:val="●"/>
      <w:lvlJc w:val="left"/>
      <w:pPr>
        <w:ind w:left="5040" w:hanging="360"/>
      </w:pPr>
    </w:lvl>
    <w:lvl w:ilvl="7" w:tplc="D6B6BB68">
      <w:start w:val="1"/>
      <w:numFmt w:val="bullet"/>
      <w:lvlText w:val="●"/>
      <w:lvlJc w:val="left"/>
      <w:pPr>
        <w:ind w:left="5760" w:hanging="360"/>
      </w:pPr>
    </w:lvl>
    <w:lvl w:ilvl="8" w:tplc="37BA238E">
      <w:start w:val="1"/>
      <w:numFmt w:val="bullet"/>
      <w:lvlText w:val="●"/>
      <w:lvlJc w:val="left"/>
      <w:pPr>
        <w:ind w:left="6480" w:hanging="360"/>
      </w:pPr>
    </w:lvl>
  </w:abstractNum>
  <w:num w:numId="1" w16cid:durableId="1795712041">
    <w:abstractNumId w:val="1"/>
    <w:lvlOverride w:ilvl="0">
      <w:startOverride w:val="1"/>
    </w:lvlOverride>
  </w:num>
  <w:num w:numId="2" w16cid:durableId="847066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5A8"/>
    <w:rsid w:val="003F2152"/>
    <w:rsid w:val="004B48AA"/>
    <w:rsid w:val="0074795C"/>
    <w:rsid w:val="007731D2"/>
    <w:rsid w:val="008815A8"/>
    <w:rsid w:val="0090581A"/>
    <w:rsid w:val="00BD4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32EC"/>
  <w15:docId w15:val="{05154058-AB8B-4C9F-94BE-C04ACE05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FFFFFF"/>
      <w:sz w:val="36"/>
      <w:szCs w:val="36"/>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unhideWhenUsed/>
    <w:qFormat/>
    <w:pPr>
      <w:spacing w:before="20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11</Pages>
  <Words>3415</Words>
  <Characters>19024</Characters>
  <Application>Microsoft Office Word</Application>
  <DocSecurity>0</DocSecurity>
  <Lines>543</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Wiecek</cp:lastModifiedBy>
  <cp:revision>3</cp:revision>
  <dcterms:created xsi:type="dcterms:W3CDTF">2026-04-13T14:28:00Z</dcterms:created>
  <dcterms:modified xsi:type="dcterms:W3CDTF">2026-04-24T09:04:00Z</dcterms:modified>
</cp:coreProperties>
</file>