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Heading"/>
      </w:pPr>
      <w:r>
        <w:t>Nicolas Wajs</w:t>
      </w:r>
    </w:p>
    <w:p>
      <w:pPr>
        <w:pStyle w:val="RoleHeading"/>
      </w:pPr>
      <w:r>
        <w:t>Project Manager — Capital Markets, Governance &amp; Cross-Functional Delivery</w:t>
      </w:r>
    </w:p>
    <w:p>
      <w:pPr>
        <w:pStyle w:val="JobMeta"/>
      </w:pPr>
      <w:r>
        <w:t>Nicolas.Wajs@gmail.com · +33 6 8089 4962 · linkedin.com/in/nicolaswajs2025 · github.com/NicolasWs</w:t>
      </w:r>
    </w:p>
    <w:p>
      <w:r>
        <w:t>15+ years structuring and driving delivery of complex, cross-functional projects in financial services — steering committees, RFP/RFQ coordination, regulatory and compliance delivery (ISO 27001, SOC 2), and consolidated reporting to CTO and senior stakeholder audiences from analyst to C-level across 5+ countries. Capital-markets domain experience spans post-trade, risk, portfolio-management platforms and, at Opensee, structuring product design — use cases, client journeys, and functional requirements — for a solution adjacent to issuer and investment-platform workflows. Currently applying the same delivery discipline as an independent Product &amp; Project Lead, including a full AI-assisted delivery from design to production in under two months.</w:t>
      </w:r>
    </w:p>
    <w:p>
      <w:pPr>
        <w:pStyle w:val="Heading2"/>
      </w:pPr>
      <w:r>
        <w:t>Experience</w:t>
      </w:r>
    </w:p>
    <w:p>
      <w:pPr>
        <w:pStyle w:val="JobTitle"/>
      </w:pPr>
      <w:r>
        <w:t>Product &amp; Project Delivery Lead — Freelance, Financial Services</w:t>
      </w:r>
    </w:p>
    <w:p>
      <w:pPr>
        <w:pStyle w:val="JobMeta"/>
      </w:pPr>
      <w:r>
        <w:t>Jul 2025 – Present</w:t>
      </w:r>
    </w:p>
    <w:p>
      <w:pPr>
        <w:pStyle w:val="ListBullet"/>
      </w:pPr>
      <w:r>
        <w:t>Structured and delivered a broker-voting web application for a French asset manager end to end — design to go-live in under 2 months — coordinating business, technical, and compliance stakeholders throughout.</w:t>
      </w:r>
    </w:p>
    <w:p>
      <w:pPr>
        <w:pStyle w:val="ListBullet"/>
      </w:pPr>
      <w:r>
        <w:t>Coordinated the transition of a Credit Derivatives and Securitization data platform to production at a tier-1 investment bank, ensuring uninterrupted trading operations through the cutover.</w:t>
      </w:r>
    </w:p>
    <w:p>
      <w:pPr>
        <w:pStyle w:val="ListBullet"/>
      </w:pPr>
      <w:r>
        <w:t>Structured and delivered AI proof-of-concepts addressing recruitment and staffing workflows for TradeValue and its partners (woon.io), including business-case framing (revenue/cost assumptions) and stakeholder validation.</w:t>
      </w:r>
    </w:p>
    <w:p>
      <w:pPr>
        <w:pStyle w:val="JobTitle"/>
      </w:pPr>
      <w:r>
        <w:t>Product Manager – SaaS &amp; Customer Success — Opensee</w:t>
      </w:r>
    </w:p>
    <w:p>
      <w:pPr>
        <w:pStyle w:val="JobMeta"/>
      </w:pPr>
      <w:r>
        <w:t>Oct 2022 – Apr 2025</w:t>
      </w:r>
    </w:p>
    <w:p>
      <w:pPr>
        <w:pStyle w:val="ListBullet"/>
      </w:pPr>
      <w:r>
        <w:t>Defined use cases, client journeys, and functional requirements from a blank page for Opensee's first cloud/asset-manager rollout (HSBC GAM), then coordinated with DevOps to deliver ISO 27001 and SOC 2 compliance requirements aligned to HSBC's technical constraints — a regulatory workstream from requirements through go-live.</w:t>
      </w:r>
    </w:p>
    <w:p>
      <w:pPr>
        <w:pStyle w:val="ListBullet"/>
      </w:pPr>
      <w:r>
        <w:t>Delivered weekly governance reporting to the CTO, tracking delivery status, risks, and issues across concurrent onboarding workstreams.</w:t>
      </w:r>
    </w:p>
    <w:p>
      <w:pPr>
        <w:pStyle w:val="ListBullet"/>
      </w:pPr>
      <w:r>
        <w:t>Structured and prioritized the data-ingestion pipeline (user stories, prototyping in OpenMetadata, industrialization in Apache NiFi, tracked via Jira); guaranteed 95% uptime, delivered over 99% across the first six months of production.</w:t>
      </w:r>
    </w:p>
    <w:p>
      <w:pPr>
        <w:pStyle w:val="ListBullet"/>
      </w:pPr>
      <w:r>
        <w:t>Designed and delivered technical workshops for 100+ business and IT users, structuring the handover to customer-success teams.</w:t>
      </w:r>
    </w:p>
    <w:p>
      <w:pPr>
        <w:pStyle w:val="JobTitle"/>
      </w:pPr>
      <w:r>
        <w:t>Principal Product Advisor – EMEA &amp; Americas — Finastra</w:t>
      </w:r>
    </w:p>
    <w:p>
      <w:pPr>
        <w:pStyle w:val="JobMeta"/>
      </w:pPr>
      <w:r>
        <w:t>Sep 2017 – Oct 2022</w:t>
      </w:r>
    </w:p>
    <w:p>
      <w:pPr>
        <w:pStyle w:val="ListBullet"/>
      </w:pPr>
      <w:r>
        <w:t>Coordinated RFP/RFQ responses and effort quotations for competitive bids across 30+ financial institutions, supervising 12 presales consultants to ensure consistent stakeholder-facing materials.</w:t>
      </w:r>
    </w:p>
    <w:p>
      <w:pPr>
        <w:pStyle w:val="ListBullet"/>
      </w:pPr>
      <w:r>
        <w:t>Structured and delivered client workshops across NYC, Brussels, Amsterdam, Paris, and Verona — cross-geography stakeholder coordination directly credited with a 65% increase in sales-qualified opportunities generated from those workshops.</w:t>
      </w:r>
    </w:p>
    <w:p>
      <w:pPr>
        <w:pStyle w:val="ListBullet"/>
      </w:pPr>
      <w:r>
        <w:t>Supported deal structuring from $500K to $3M, aligning business, technical, and commercial stakeholders through the sales cycle.</w:t>
      </w:r>
    </w:p>
    <w:p>
      <w:pPr>
        <w:pStyle w:val="JobTitle"/>
      </w:pPr>
      <w:r>
        <w:t>Consulting Project Manager – Continental Europe — Sophis SAS</w:t>
      </w:r>
    </w:p>
    <w:p>
      <w:pPr>
        <w:pStyle w:val="JobMeta"/>
      </w:pPr>
      <w:r>
        <w:t>Jul 2011 – Jul 2013</w:t>
      </w:r>
    </w:p>
    <w:p>
      <w:pPr>
        <w:pStyle w:val="ListBullet"/>
      </w:pPr>
      <w:r>
        <w:t>Structured and delivered 7 projects across Europe (2 full implementations, 5 upgrades) spanning portfolio management, front-to-back, risk management, order management, and compliance systems — chairing project review meetings and Steering Committees throughout, using agile, hybrid, and waterfall delivery approaches depending on client constraints.</w:t>
      </w:r>
    </w:p>
    <w:p>
      <w:pPr>
        <w:pStyle w:val="ListBullet"/>
      </w:pPr>
      <w:r>
        <w:t>Coordinated 25+ consultants across IT, toolkit development, and Front/Middle/Back Office functions on concurrent, multi-stakeholder delivery workstreams.</w:t>
      </w:r>
    </w:p>
    <w:p>
      <w:pPr>
        <w:pStyle w:val="ListBullet"/>
      </w:pPr>
      <w:r>
        <w:t>Controlled effort quotations for RFQ/RFP/RFI responses and supported pre-sales change-management propositions.</w:t>
      </w:r>
    </w:p>
    <w:p>
      <w:pPr>
        <w:pStyle w:val="JobTitle"/>
      </w:pPr>
      <w:r>
        <w:t>Lead Account Manager and Sophis Expert – Continental Europe — Misys</w:t>
      </w:r>
    </w:p>
    <w:p>
      <w:pPr>
        <w:pStyle w:val="JobMeta"/>
      </w:pPr>
      <w:r>
        <w:t>Aug 2013 – Jun 2017</w:t>
      </w:r>
    </w:p>
    <w:p>
      <w:pPr>
        <w:pStyle w:val="ListBullet"/>
      </w:pPr>
      <w:r>
        <w:t>Technical account management for 15+ buy-side and sell-side institutions (hedge funds, asset managers, investment banks) across production risk-management and trade-processing systems.</w:t>
      </w:r>
    </w:p>
    <w:p>
      <w:pPr>
        <w:pStyle w:val="ListBullet"/>
      </w:pPr>
      <w:r>
        <w:t>Mentored 45 junior offshore support consultants (30 in Europe, 15 in Asia), including 5 weeks of structured on-site training and product-certification support.</w:t>
      </w:r>
    </w:p>
    <w:p>
      <w:pPr>
        <w:pStyle w:val="Heading2"/>
      </w:pPr>
      <w:r>
        <w:t>Education &amp; Certifications</w:t>
      </w:r>
    </w:p>
    <w:p>
      <w:pPr>
        <w:pStyle w:val="ListBullet"/>
      </w:pPr>
      <w:r>
        <w:t>Professional Risk Manager (PRM), PRMIA — Financial Theory, Financial Instruments &amp; Markets, Market Risk, Counterparty and Operational Risk — 2019</w:t>
      </w:r>
    </w:p>
    <w:p>
      <w:pPr>
        <w:pStyle w:val="ListBullet"/>
      </w:pPr>
      <w:r>
        <w:t>Institut de Haute Finance (IHFi 41), Paris — Executive Master's, Corporate Finance &amp; Capital Markets — 2010–2012</w:t>
      </w:r>
    </w:p>
    <w:p>
      <w:pPr>
        <w:pStyle w:val="ListBullet"/>
      </w:pPr>
      <w:r>
        <w:t>Master of Science, ENSIIE, Evry — High Distinction in Economics, Major in Financial Modeling — 1999–2002</w:t>
      </w:r>
    </w:p>
    <w:p>
      <w:pPr>
        <w:pStyle w:val="ListBullet"/>
      </w:pPr>
      <w:r>
        <w:t>Ecole Polytechnique (X-EXED) — AI for Business, AI &amp; Data Management Solution Engineering — Apr 2025 – Jan 2026</w:t>
      </w:r>
    </w:p>
    <w:p>
      <w:pPr>
        <w:pStyle w:val="ListBullet"/>
      </w:pPr>
      <w:r>
        <w:t>Aha! Product Management Professional Certificate — Sep 2025</w:t>
      </w:r>
    </w:p>
    <w:p>
      <w:pPr>
        <w:pStyle w:val="Heading2"/>
      </w:pPr>
      <w:r>
        <w:t>Skills</w:t>
      </w:r>
    </w:p>
    <w:p>
      <w:pPr>
        <w:pStyle w:val="ListBullet"/>
      </w:pPr>
      <w:r>
        <w:t>Project Governance: Steering committees, RFP/RFQ/RFI coordination, decision logs, action trackers, status reporting to CTO/senior management, risk &amp; issue escalation</w:t>
      </w:r>
    </w:p>
    <w:p>
      <w:pPr>
        <w:pStyle w:val="ListBullet"/>
      </w:pPr>
      <w:r>
        <w:t>Product Design Support: Use cases, client journeys, functional requirements, business-case inputs (revenue/cost/investment assumptions)</w:t>
      </w:r>
    </w:p>
    <w:p>
      <w:pPr>
        <w:pStyle w:val="ListBullet"/>
      </w:pPr>
      <w:r>
        <w:t>Regulatory &amp; Compliance: ISO 27001, SOC 2, vendor management, PRM-certified risk analysis (market, counterparty, operational)</w:t>
      </w:r>
    </w:p>
    <w:p>
      <w:pPr>
        <w:pStyle w:val="ListBullet"/>
      </w:pPr>
      <w:r>
        <w:t>Capital Markets Domain: Portfolio management, front-to-back trading, risk systems (Sophis, FusionRisk), market data (Reuters/Eikon), credit derivatives &amp; securitization, issuer/investment-platform-adjacent product design</w:t>
      </w:r>
    </w:p>
    <w:p>
      <w:pPr>
        <w:pStyle w:val="ListBullet"/>
      </w:pPr>
      <w:r>
        <w:t>Delivery: Cross-functional team coordination (25+ consultants), stakeholder management across 5+ countries, agile/hybrid/waterfall delivery, project planning &amp; tracking (Jira and equivalent tools)</w:t>
      </w:r>
    </w:p>
    <w:p>
      <w:pPr>
        <w:pStyle w:val="ListBullet"/>
      </w:pPr>
      <w:r>
        <w:t>Tools: PowerPoint, Excel, Jira, Python/SQL, Cloud (GCP/AWS)</w:t>
      </w:r>
    </w:p>
    <w:p>
      <w:pPr>
        <w:pStyle w:val="Heading2"/>
      </w:pPr>
      <w:r>
        <w:t>Languages</w:t>
      </w:r>
    </w:p>
    <w:p>
      <w:r>
        <w:t>English: fluent (spoken and written) · French: mother tongue · German: intermediate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Heading">
    <w:name w:val="NameHeading"/>
    <w:rPr>
      <w:rFonts w:ascii="Calibri" w:hAnsi="Calibri"/>
      <w:b/>
      <w:color w:val="1F2937"/>
    </w:rPr>
  </w:style>
  <w:style w:type="paragraph" w:customStyle="1" w:styleId="RoleHeading">
    <w:name w:val="RoleHeading"/>
    <w:rPr>
      <w:rFonts w:ascii="Calibri" w:hAnsi="Calibri"/>
      <w:b/>
      <w:color w:val="374151"/>
    </w:rPr>
  </w:style>
  <w:style w:type="paragraph" w:customStyle="1" w:styleId="SectionHeading">
    <w:name w:val="SectionHeading"/>
    <w:rPr>
      <w:rFonts w:ascii="Calibri" w:hAnsi="Calibri"/>
      <w:b/>
      <w:color w:val="1F2937"/>
    </w:rPr>
  </w:style>
  <w:style w:type="paragraph" w:customStyle="1" w:styleId="JobTitle">
    <w:name w:val="JobTitle"/>
    <w:rPr>
      <w:rFonts w:ascii="Calibri" w:hAnsi="Calibri"/>
      <w:b/>
    </w:rPr>
  </w:style>
  <w:style w:type="paragraph" w:customStyle="1" w:styleId="JobMeta">
    <w:name w:val="JobMeta"/>
    <w:rPr>
      <w:rFonts w:ascii="Calibri" w:hAnsi="Calibri"/>
      <w:i/>
      <w:color w:val="6B72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