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Nicolas Wajs — CV</w:t>
      </w:r>
    </w:p>
    <w:p>
      <w:r>
        <w:t>Senior Product Manager — Enterprise Data, API &amp; AI Platforms | Financial Services &amp; SaaS</w:t>
      </w:r>
    </w:p>
    <w:p>
      <w:r>
        <w:t>Product leader with 15+ years owning enterprise B2B platform products end-to-end — strategy, roadmap, API/connector delivery, and adoption — in regulated, technically demanding environments. Direct experience shipping data-platform APIs and connectors (Opensee Python library, Tableau connectivity) to enterprise customers, owning a production SLA, and, currently, building AI-assisted software end-to-end from design to production. Works across both levels a platform PM role needs: strategic (positioning, roadmap, enterprise buyer narrative) and tactical (technical workshops, release readiness, close collaboration with engineering).</w:t>
      </w:r>
    </w:p>
    <w:p>
      <w:r>
        <w:t>Contact: Nicolas.Wajs@gmail.com · +33 6 8089 4962 · linkedin.com/in/nicolaswajs2025 (https://www.linkedin.com/in/nicolaswajs2025/) · github.com/NicolasWs (https://github.com/NicolasWs)</w:t>
      </w:r>
    </w:p>
    <w:p>
      <w:pPr>
        <w:pStyle w:val="Heading2"/>
      </w:pPr>
      <w:r>
        <w:t>Experience</w:t>
      </w:r>
    </w:p>
    <w:p>
      <w:pPr>
        <w:pStyle w:val="Heading3"/>
      </w:pPr>
      <w:r>
        <w:t>Product &amp; AI Strategy Lead — Freelance, Data/AI &amp; Financial Services</w:t>
      </w:r>
    </w:p>
    <w:p>
      <w:r>
        <w:t>Jul 2025 – Present</w:t>
      </w:r>
    </w:p>
    <w:p>
      <w:r>
        <w:t>to end, using an AI-assisted software development lifecycle, from initial design to production go-live in under two months — hands-on with the full build-vs-buy and delivery trade-offs of a fast-moving technical product.</w:t>
      </w:r>
    </w:p>
    <w:p>
      <w:r>
        <w:t>platform at tier-1 investment banks, coordinating cross-functional delivery with zero disruption to live trading activity.</w:t>
      </w:r>
    </w:p>
    <w:p>
      <w:r>
        <w:t>automation) for TradeValue and its partner Woon, and provided presales leadership on an early-stage GenAI data platform for the insurance sector.</w:t>
      </w:r>
    </w:p>
    <w:p>
      <w:r>
        <w:t>full-stack prototyping — github.com/NicolasWs — staying hands-on with the same AI orchestration patterns (LLM workflows, agent tooling) that underpin modern platform products.</w:t>
      </w:r>
    </w:p>
    <w:p>
      <w:pPr>
        <w:pStyle w:val="Heading3"/>
      </w:pPr>
      <w:r>
        <w:t>Product Manager – SaaS &amp; Customer Success — Opensee, SaaS &amp; Data Platform</w:t>
      </w:r>
    </w:p>
    <w:p>
      <w:r>
        <w:t>Oct 2022 – Apr 2025</w:t>
      </w:r>
    </w:p>
    <w:p>
      <w:r>
        <w:t>rollout of a cloud-native data analytics SaaS platform, defining the strategy that shaped go-to-market for its first tier-1 client.</w:t>
      </w:r>
    </w:p>
    <w:p>
      <w:r>
        <w:t>Cloud and first asset-manager client), defining adoption metrics for reporting automation, data transformation, and visualization; guaranteed a 95% uptime SLA and delivered 99%+ uptime in the first six months, including managed data services — direct ownership of a production SLA for an enterprise platform customer.</w:t>
      </w:r>
    </w:p>
    <w:p>
      <w:r>
        <w:t>and its rollout to HSBC AM desktops, and set up Tableau Server/Desktop connectivity — opening programmatic and BI access to the platform for technical and business users alike.</w:t>
      </w:r>
    </w:p>
    <w:p>
      <w:r>
        <w:t>business and IT users, shortening time-to-value and easing handover to customer success — the same cross-audience communication (technical + business) a platform-facing PM role demands.</w:t>
      </w:r>
    </w:p>
    <w:p>
      <w:pPr>
        <w:pStyle w:val="Heading3"/>
      </w:pPr>
      <w:r>
        <w:t>Principal Product Advisor – EMEA &amp; Americas — Finastra, Customer Experience</w:t>
      </w:r>
    </w:p>
    <w:p>
      <w:r>
        <w:t>Sep 2017 – Oct 2022</w:t>
      </w:r>
    </w:p>
    <w:p>
      <w:r>
        <w:t>institutions, aligning Sophis and FusionRisk platform capabilities to evolving regulatory and technical requirements — repeated practice in translating platform capability into buyer-specific value.</w:t>
      </w:r>
    </w:p>
    <w:p>
      <w:r>
        <w:t>Paris, and Verona, increasing sales-qualified opportunities by 65%.</w:t>
      </w:r>
    </w:p>
    <w:p>
      <w:r>
        <w:t>enterprise bids, supporting upsell and renewal deals from $500K to $3M; supervised presales engagements across 12 consultants to keep value messaging and demo quality consistent — first-hand experience of multi-stakeholder, compliance-driven enterprise buying cycles.</w:t>
      </w:r>
    </w:p>
    <w:p>
      <w:r>
        <w:t>operational pressure of COVID-era markets.</w:t>
      </w:r>
    </w:p>
    <w:p>
      <w:pPr>
        <w:pStyle w:val="Heading3"/>
      </w:pPr>
      <w:r>
        <w:t>Lead Account Manager and Sophis Expert – Continental Europe — Misys, Customer Services</w:t>
      </w:r>
    </w:p>
    <w:p>
      <w:r>
        <w:t>Aug 2013 – Jun 2017</w:t>
      </w:r>
    </w:p>
    <w:p>
      <w:r>
        <w:t>(hedge funds, asset managers, investment banks), owning premium support on production risk and trading systems (Historical/Stressed VaR, performance attribution) — deep exposure to the technical realities behind an enterprise platform's day-two operations.</w:t>
      </w:r>
    </w:p>
    <w:p>
      <w:r>
        <w:t>(15 consultants), including on-site training and product certification support.</w:t>
      </w:r>
    </w:p>
    <w:p>
      <w:pPr>
        <w:pStyle w:val="Heading3"/>
      </w:pPr>
      <w:r>
        <w:t>Consulting Project Manager – Continental Europe — Sophis SAS, Professional Services</w:t>
      </w:r>
    </w:p>
    <w:p>
      <w:r>
        <w:t>Jul 2011 – Jul 2013</w:t>
      </w:r>
    </w:p>
    <w:p>
      <w:r>
        <w:t>Portfolio Management, Front-to-Back, Risk Management, Order Management, and Compliance systems, chairing steering committees and project reviews.</w:t>
      </w:r>
    </w:p>
    <w:p>
      <w:r>
        <w:t>Middle/Back Office disciplines on multi-team delivery programs.</w:t>
      </w:r>
    </w:p>
    <w:p>
      <w:pPr>
        <w:pStyle w:val="Heading3"/>
      </w:pPr>
      <w:r>
        <w:t>Product &amp; Solution Manager – Paris — Thomson Reuters, R&amp;D</w:t>
      </w:r>
    </w:p>
    <w:p>
      <w:r>
        <w:t>Oct 2007 – May 2011</w:t>
      </w:r>
    </w:p>
    <w:p>
      <w:r>
        <w:t>Commodities, Energy) to scope platform enhancements for Reuters Trader and EIKON, balancing latency, data granularity, and front-office workflow constraints — release-planning discipline for a continuously-shipping technical platform.</w:t>
      </w:r>
    </w:p>
    <w:p>
      <w:r>
        <w:t>software updates annually across patches, hotfixes, and service packs.</w:t>
      </w:r>
    </w:p>
    <w:p>
      <w:pPr>
        <w:pStyle w:val="Heading3"/>
      </w:pPr>
      <w:r>
        <w:t>Product Quality &amp; 3rd-level Support Lead — Reuters, Client Services</w:t>
      </w:r>
    </w:p>
    <w:p>
      <w:r>
        <w:t>Sep 2002 – Sep 2007</w:t>
      </w:r>
    </w:p>
    <w:p>
      <w:r>
        <w:t>coordinated cross-team QA involving 80+ FTEs validating analytics and financial-model libraries for Tier-1 client retention.</w:t>
      </w:r>
    </w:p>
    <w:p>
      <w:pPr>
        <w:pStyle w:val="Heading2"/>
      </w:pPr>
      <w:r>
        <w:t>Education &amp; Certifications</w:t>
      </w:r>
    </w:p>
    <w:p>
      <w:r>
        <w:t>and Data Management Solution Engineering — Apr 2025 – Jan 2026</w:t>
      </w:r>
    </w:p>
    <w:p>
      <w:r>
        <w:t>l'Industrie et l'Entreprise (ENSIIE), Evry** — High Distinction in Economics, Major in Financial Modeling — 1999–2002</w:t>
      </w:r>
    </w:p>
    <w:p>
      <w:r>
        <w:t>Corporate Finance &amp; Capital Markets — 2010–2012</w:t>
      </w:r>
    </w:p>
    <w:p>
      <w:pPr>
        <w:pStyle w:val="Heading3"/>
      </w:pPr>
      <w:r>
        <w:t>AI &amp; Product Certifications</w:t>
      </w:r>
    </w:p>
    <w:p>
      <w:pPr>
        <w:pStyle w:val="Heading2"/>
      </w:pPr>
      <w:r>
        <w:t>Skills</w:t>
      </w:r>
    </w:p>
    <w:p>
      <w:r>
        <w:t>Discovery, Go-to-Market, Technical PM, Competitive Positioning, RFP/ Enterprise Sales Support, Lifecycle Management, Agile</w:t>
      </w:r>
    </w:p>
    <w:p>
      <w:r>
        <w:t>Engineering, Risk Systems, Cloud (GCP/AWS), Python, SQL, Spark</w:t>
      </w:r>
    </w:p>
    <w:p>
      <w:r>
        <w:t>Stakeholder Management, Enterprise Program Delivery (10,000+ man-days)</w:t>
      </w:r>
    </w:p>
    <w:p>
      <w:pPr>
        <w:pStyle w:val="Heading2"/>
      </w:pPr>
      <w:r>
        <w:t>Languages</w:t>
      </w:r>
    </w:p>
    <w:p>
      <w:pPr>
        <w:pStyle w:val="Heading2"/>
      </w:pPr>
      <w:r>
        <w:t>Note on freelance period</w:t>
      </w:r>
    </w:p>
    <w:p>
      <w:r>
        <w:t>Freelance since July 2025 is a deliberate strategic choice, not a gap: it let me deliver a full platform build (design-to-production in under two months) and a production data-platform transition, while staying hands-on with current agentic-AI tooling (LangChain/RAG, crewAI, agent orchestration) through certifications and applied POCs.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