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Light-bold.ttf" ContentType="application/x-font-ttf"/>
  <Override PartName="/word/fonts/MontserratLight-boldItalic.ttf" ContentType="application/x-font-ttf"/>
  <Override PartName="/word/fonts/MontserratLight-italic.ttf" ContentType="application/x-font-ttf"/>
  <Override PartName="/word/fonts/MontserratLight-regular.ttf" ContentType="application/x-font-ttf"/>
  <Override PartName="/word/fonts/MontserratSemiBold-bold.ttf" ContentType="application/x-font-ttf"/>
  <Override PartName="/word/fonts/MontserratSemiBold-boldItalic.ttf" ContentType="application/x-font-ttf"/>
  <Override PartName="/word/fonts/MontserratSemiBold-italic.ttf" ContentType="application/x-font-ttf"/>
  <Override PartName="/word/fonts/MontserratSemiBold-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40"/>
      </w:pPr>
      <w:r>
        <w:rPr>
          <w:rFonts w:ascii="Montserrat SemiBold" w:hAnsi="Montserrat SemiBold"/>
          <w:b/>
          <w:color w:val="1E3A8A"/>
          <w:sz w:val="44"/>
        </w:rPr>
        <w:t>SomnoScope / SomnoAI</w:t>
      </w:r>
    </w:p>
    <w:p>
      <w:pPr>
        <w:spacing w:before="0" w:after="200"/>
      </w:pPr>
      <w:r>
        <w:rPr>
          <w:rFonts w:ascii="Montserrat Light" w:hAnsi="Montserrat Light"/>
          <w:color w:val="475569"/>
          <w:sz w:val="22"/>
        </w:rPr>
        <w:t>Clasificación Automática de Estadios de Sueño con EEG de Canal Único | Entrega 2: Modelado Supervisado, MLOps en AWS EC2 y Tablero Interactivo</w:t>
      </w:r>
    </w:p>
    <w:p>
      <w:pPr>
        <w:spacing w:before="0" w:after="280"/>
      </w:pPr>
      <w:r>
        <w:rPr>
          <w:rFonts w:ascii="Montserrat Light" w:hAnsi="Montserrat Light"/>
          <w:i/>
          <w:color w:val="64748B"/>
          <w:sz w:val="17"/>
        </w:rPr>
        <w:t>Maestría en Inteligencia Artificial (MAIA) — Universidad de los Andes | Equipo: Nicolás Gómez, Catalina García, Daniel Franco, Arturo Molina</w:t>
      </w:r>
    </w:p>
    <w:p>
      <w:pPr>
        <w:keepNext/>
        <w:spacing w:before="280" w:after="80"/>
      </w:pPr>
      <w:r>
        <w:rPr>
          <w:rFonts w:ascii="Montserrat SemiBold" w:hAnsi="Montserrat SemiBold"/>
          <w:b/>
          <w:color w:val="1E3A8A"/>
          <w:sz w:val="28"/>
        </w:rPr>
        <w:t>1. Resumen del Problema, Alcance y Evolución del Proyecto</w:t>
      </w:r>
    </w:p>
    <w:p>
      <w:pPr>
        <w:spacing w:before="40" w:after="80" w:line="276" w:lineRule="auto"/>
      </w:pPr>
      <w:r>
        <w:rPr>
          <w:rFonts w:ascii="Montserrat SemiBold" w:hAnsi="Montserrat SemiBold"/>
          <w:b/>
          <w:color w:val="0F172A"/>
          <w:sz w:val="19"/>
        </w:rPr>
        <w:t xml:space="preserve">Problema y Contexto: </w:t>
      </w:r>
      <w:r>
        <w:rPr>
          <w:rFonts w:ascii="Montserrat Light" w:hAnsi="Montserrat Light"/>
          <w:i w:val="0"/>
          <w:color w:val="1E293B"/>
          <w:sz w:val="19"/>
        </w:rPr>
        <w:t>El análisis polisomnográfico (PSG) es el estándar de oro para el diagnóstico de trastornos del sueño como el síndrome de apnea obstructiva y el insomnio crónico. No obstante, el procedimiento convencional exige que médicos especialistas clasifiquen manualmente entre 800 y 1,200 épocas de 30 segundos por paciente, demandando entre 2 y 4 horas continuas de labor altamente susceptible a fatiga diagnóstica y discrepancia inter-observador.</w:t>
      </w:r>
    </w:p>
    <w:p>
      <w:pPr>
        <w:spacing w:before="40" w:after="80" w:line="276" w:lineRule="auto"/>
      </w:pPr>
      <w:r>
        <w:rPr>
          <w:rFonts w:ascii="Montserrat SemiBold" w:hAnsi="Montserrat SemiBold"/>
          <w:b/>
          <w:color w:val="0F172A"/>
          <w:sz w:val="19"/>
        </w:rPr>
        <w:t xml:space="preserve">Pregunta de Negocio: </w:t>
      </w:r>
      <w:r>
        <w:rPr>
          <w:rFonts w:ascii="Montserrat Light" w:hAnsi="Montserrat Light"/>
          <w:i w:val="0"/>
          <w:color w:val="1E293B"/>
          <w:sz w:val="19"/>
        </w:rPr>
        <w:t>¿Cómo reducir significativamente el tiempo de análisis en polisomnografías mediante la clasificación automática y confiable de los cinco estadios de sueño AASM (Wake, N1, N2, N3, REM) a partir de una derivación de EEG de un solo canal, garantizando reproducibilidad y bajo costo de cómputo?</w:t>
      </w:r>
    </w:p>
    <w:p>
      <w:pPr>
        <w:spacing w:before="40" w:after="80" w:line="276" w:lineRule="auto"/>
      </w:pPr>
      <w:r>
        <w:rPr>
          <w:rFonts w:ascii="Montserrat SemiBold" w:hAnsi="Montserrat SemiBold"/>
          <w:b/>
          <w:color w:val="0F172A"/>
          <w:sz w:val="19"/>
        </w:rPr>
        <w:t xml:space="preserve">Alcance del Proyecto: </w:t>
      </w:r>
      <w:r>
        <w:rPr>
          <w:rFonts w:ascii="Montserrat Light" w:hAnsi="Montserrat Light"/>
          <w:i w:val="0"/>
          <w:color w:val="1E293B"/>
          <w:sz w:val="19"/>
        </w:rPr>
        <w:t>Se acota al subconjunto de datos abiertos Sleep-EDFx (PhysioNet), empleando primariamente la derivación frontal EEG Fpz-Cz a 100 Hz. El alcance técnico comprende la extracción de características espectrales y temporales, el entrenamiento y evaluación comparativa de modelos clásicos y de aprendizaje profundo, el seguimiento continuo de experimentos mediante MLflow alojado en una máquina virtual de AWS EC2, y el desarrollo de un tablero interactivo funcional para inspección clínica.</w:t>
      </w:r>
    </w:p>
    <w:p>
      <w:pPr>
        <w:spacing w:before="40" w:after="80" w:line="276" w:lineRule="auto"/>
      </w:pPr>
      <w:r>
        <w:rPr>
          <w:rFonts w:ascii="Montserrat SemiBold" w:hAnsi="Montserrat SemiBold"/>
          <w:b/>
          <w:color w:val="0F172A"/>
          <w:sz w:val="19"/>
        </w:rPr>
        <w:t xml:space="preserve">Evolución y Cambios frente a la Entrega 1: </w:t>
      </w:r>
      <w:r>
        <w:rPr>
          <w:rFonts w:ascii="Montserrat Light" w:hAnsi="Montserrat Light"/>
          <w:i w:val="0"/>
          <w:color w:val="1E293B"/>
          <w:sz w:val="19"/>
        </w:rPr>
        <w:t>En la Entrega 1 se completó la caracterización exploratoria inicial (EDA) y se definió la arquitectura visual de la solución (maqueta interactiva en Stitch). Para esta Entrega 2, el proyecto experimentó una evolución decisiva hacia una arquitectura de producción desacoplada: (1) Se estructuró un pipeline modular y reproducible con partición estricta por sujeto (GroupShuffleSplit) que previene la fuga de datos inter-sujeto; (2) Se implementaron, empaquetaron y compararon formalmente tres modelos supervisados (Random Forest, LightGBM y una red neuronal 1D-CNN + BiLSTM TinySleepNet); (3) Se desplegó el servidor de tracking de MLflow en la nube (AWS EC2) para versionar hiperparámetros, métricas y modelos serializados; y (4) Se construyó un tablero interactivo funcional en Streamlit fiel a la maqueta clínica.</w:t>
      </w:r>
    </w:p>
    <w:p>
      <w:pPr>
        <w:keepNext/>
        <w:spacing w:before="280" w:after="80"/>
      </w:pPr>
      <w:r>
        <w:rPr>
          <w:rFonts w:ascii="Montserrat SemiBold" w:hAnsi="Montserrat SemiBold"/>
          <w:b/>
          <w:color w:val="1E3A8A"/>
          <w:sz w:val="28"/>
        </w:rPr>
        <w:t>2. Modelos Supervisados Desarrollados e Ingeniería de Características</w:t>
      </w:r>
    </w:p>
    <w:p>
      <w:pPr>
        <w:spacing w:before="40" w:after="80" w:line="276" w:lineRule="auto"/>
      </w:pPr>
      <w:r>
        <w:rPr>
          <w:rFonts w:ascii="Montserrat SemiBold" w:hAnsi="Montserrat SemiBold"/>
          <w:b/>
          <w:color w:val="0F172A"/>
          <w:sz w:val="19"/>
        </w:rPr>
        <w:t xml:space="preserve">Ingeniería de Características Espectrales: </w:t>
      </w:r>
      <w:r>
        <w:rPr>
          <w:rFonts w:ascii="Montserrat Light" w:hAnsi="Montserrat Light"/>
          <w:i w:val="0"/>
          <w:color w:val="1E293B"/>
          <w:sz w:val="19"/>
        </w:rPr>
        <w:t>Para transformar la señal continua en representaciones informativas, se implementó un pipeline clínico que segmenta el EEG en épocas de 30 segundos (3,000 muestras a 100 Hz), aplica filtrado pasa-banda Butterworth (0.5 – 35.0 Hz) y normalización z-score por época para amortiguar fluctuaciones de impedancia inter-sujeto. Para los modelos clásicos, se diseñó un 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pPr>
        <w:spacing w:before="40" w:after="80" w:line="276" w:lineRule="auto"/>
      </w:pPr>
      <w:r>
        <w:rPr>
          <w:rFonts w:ascii="Montserrat SemiBold" w:hAnsi="Montserrat SemiBold"/>
          <w:b/>
          <w:color w:val="0F172A"/>
          <w:sz w:val="19"/>
        </w:rPr>
        <w:t xml:space="preserve">Modelo 1A — Random Forest (Baseline Clásico): </w:t>
      </w:r>
      <w:r>
        <w:rPr>
          <w:rFonts w:ascii="Montserrat Light" w:hAnsi="Montserrat Light"/>
          <w:i w:val="0"/>
          <w:color w:val="1E293B"/>
          <w:sz w:val="19"/>
        </w:rPr>
        <w:t>Se construyó un ensamble de 100 árboles de decisión con profundidad máxima acotada a 12 niveles para evitar sobreajuste. Se utilizó el criterio de entropía y ponderación inversa de frecuencias ('balanced class weights') para compensar el desbalance natural de clases. Este modelo opera como baseline clásico interpretable y rápido.</w:t>
      </w:r>
    </w:p>
    <w:p>
      <w:pPr>
        <w:spacing w:before="40" w:after="80" w:line="276" w:lineRule="auto"/>
      </w:pPr>
      <w:r>
        <w:rPr>
          <w:rFonts w:ascii="Montserrat SemiBold" w:hAnsi="Montserrat SemiBold"/>
          <w:b/>
          <w:color w:val="0F172A"/>
          <w:sz w:val="19"/>
        </w:rPr>
        <w:t xml:space="preserve">Modelo 1B — LightGBM (Modelo Clásico Optimizado): </w:t>
      </w:r>
      <w:r>
        <w:rPr>
          <w:rFonts w:ascii="Montserrat Light" w:hAnsi="Montserrat Light"/>
          <w:i w:val="0"/>
          <w:color w:val="1E293B"/>
          <w:sz w:val="19"/>
        </w:rPr>
        <w:t>Se formuló un modelo de Gradient Boosting con 150 estimadores, tasa de aprendizaje de 0.05 y función objetivo multiclase con ponderación balanceada. LightGBM demostró una notable capacidad para modelar relaciones no lineales entre las potencias espectrales relativas (particularmente Sigma para husos de sueño en N2 y Delta para ondas lentas en N3), mitigando el costo computacional mediante histogramas discretos.</w:t>
      </w:r>
    </w:p>
    <w:p>
      <w:pPr>
        <w:spacing w:before="40" w:after="80" w:line="276" w:lineRule="auto"/>
      </w:pPr>
      <w:r>
        <w:rPr>
          <w:rFonts w:ascii="Montserrat SemiBold" w:hAnsi="Montserrat SemiBold"/>
          <w:b/>
          <w:color w:val="0F172A"/>
          <w:sz w:val="19"/>
        </w:rPr>
        <w:t xml:space="preserve">Modelo 2 — TinySleepNet (Deep Learning 1D-CNN + BiLSTM): </w:t>
      </w:r>
      <w:r>
        <w:rPr>
          <w:rFonts w:ascii="Montserrat Light" w:hAnsi="Montserrat Light"/>
          <w:i w:val="0"/>
          <w:color w:val="1E293B"/>
          <w:sz w:val="19"/>
        </w:rPr>
        <w:t>Se construyó una arquitectura híbrida neuronal en PyTorch adaptada para bio-señales directas (3000 puntos temporales): (1) Un bloque convolucional 1D con tres etapas (filtros grandes de kernel=50 para capturar ondas lentas delta, y filtros finos de kernel=8 y 4 para transitorios rápidos) con Batch Normalization, ReLU y Dropout; (2) Una capa recurrente Bi-direccional LSTM (64 unidades por dirección) para aprender la continuidad temporal intra-época; y (3) Una cabeza lineal densa de clasificación para las 5 clases AASM. El modelo se entrenó con optimizador AdamW (learning rate 0.001) y función de pérdida Cross-Entropy con pesos de clase penalizados.</w:t>
      </w:r>
    </w:p>
    <w:p>
      <w:pPr>
        <w:spacing w:before="40" w:after="80" w:line="276" w:lineRule="auto"/>
      </w:pPr>
      <w:r>
        <w:rPr>
          <w:rFonts w:ascii="Montserrat SemiBold" w:hAnsi="Montserrat SemiBold"/>
          <w:b/>
          <w:color w:val="0F172A"/>
          <w:sz w:val="19"/>
        </w:rPr>
        <w:t xml:space="preserve">Tratamiento del Desbalance Crítico (Estadio N1): </w:t>
      </w:r>
      <w:r>
        <w:rPr>
          <w:rFonts w:ascii="Montserrat Light" w:hAnsi="Montserrat Light"/>
          <w:i w:val="0"/>
          <w:color w:val="1E293B"/>
          <w:sz w:val="19"/>
        </w:rPr>
        <w:t>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pPr>
        <w:spacing w:before="160" w:after="40"/>
        <w:jc w:val="center"/>
      </w:pPr>
    </w:p>
    <w:p>
      <w:r>
        <w:drawing>
          <wp:inline>
            <wp:extent cx="4114800" cy="3526971"/>
            <wp:docPr id="1" name="Picture 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526971"/>
                    </a:xfrm>
                    <a:prstGeom prst="rect"/>
                  </pic:spPr>
                </pic:pic>
              </a:graphicData>
            </a:graphic>
          </wp:inline>
        </w:drawing>
      </w:r>
    </w:p>
    <w:p>
      <w:pPr>
        <w:jc w:val="center"/>
      </w:pPr>
      <w:r>
        <w:rPr>
          <w:rFonts w:ascii="Montserrat Light" w:hAnsi="Montserrat Light"/>
          <w:i/>
          <w:sz w:val="16"/>
        </w:rPr>
        <w:t>Figura 1: Matriz de confusión normalizada para el modelo LightGBM optimizado.</w:t>
      </w:r>
    </w:p>
    <w:p>
      <w:pPr>
        <w:keepNext/>
        <w:spacing w:before="280" w:after="80"/>
      </w:pPr>
      <w:r>
        <w:rPr>
          <w:rFonts w:ascii="Montserrat SemiBold" w:hAnsi="Montserrat SemiBold"/>
          <w:b/>
          <w:color w:val="1E3A8A"/>
          <w:sz w:val="28"/>
        </w:rPr>
        <w:t>3. MLOps y Soporte de Experimentos con MLflow en AWS EC2</w:t>
      </w:r>
    </w:p>
    <w:p>
      <w:pPr>
        <w:spacing w:before="40" w:after="80" w:line="276" w:lineRule="auto"/>
      </w:pPr>
      <w:r>
        <w:rPr>
          <w:rFonts w:ascii="Montserrat SemiBold" w:hAnsi="Montserrat SemiBold"/>
          <w:b/>
          <w:color w:val="0F172A"/>
          <w:sz w:val="19"/>
        </w:rPr>
        <w:t xml:space="preserve">Infraestructura y Tracking Server: </w:t>
      </w:r>
      <w:r>
        <w:rPr>
          <w:rFonts w:ascii="Montserrat Light" w:hAnsi="Montserrat Light"/>
          <w:i w:val="0"/>
          <w:color w:val="1E293B"/>
          <w:sz w:val="19"/>
        </w:rPr>
        <w:t>Conforme a las buenas prácticas de MLOps y los lineamientos del curso (Taller 4), el seguimiento de experimentos se centralizó en una instancia remota de AWS EC2 (Ubuntu 24.04 LTS, IP pública: 54.235.50.255, puertos 5000 y 8050) administrada bajo llave SSH 'dashsh_energia_keys.pem'. En la instancia se configuró un servicio persistente de MLflow Server respaldado en SQLite y directorio de artefactos dedicado, garantizando que cada corrida registre de forma inmutable: hiperparámetros (n_estimators, learning_rate, batch_size), métricas escalares por época (F1 Macro, Kappa, Exactitud, pérdida de entrenamiento), gráficos de evaluación (matrices de confusión en PNG) y los artefactos serializados de los modelos.</w:t>
      </w:r>
    </w:p>
    <w:p>
      <w:pPr>
        <w:keepNext/>
        <w:spacing w:before="280" w:after="80"/>
      </w:pPr>
      <w:r>
        <w:rPr>
          <w:rFonts w:ascii="Montserrat SemiBold" w:hAnsi="Montserrat SemiBold"/>
          <w:b/>
          <w:color w:val="334155"/>
          <w:sz w:val="21"/>
        </w:rPr>
        <w:t>Tabla 1: Comparativa de Rendimiento Clínico de los Modelos Supervisados</w:t>
      </w:r>
    </w:p>
    <w:tbl>
      <w:tblPr>
        <w:tblW w:type="auto" w:w="0"/>
        <w:jc w:val="center"/>
        <w:tblLayout w:type="fixed"/>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1E3A8A"/>
          </w:tcPr>
          <w:p>
            <w:pPr>
              <w:jc w:val="center"/>
            </w:pPr>
            <w:r>
              <w:rPr>
                <w:rFonts w:ascii="Montserrat SemiBold" w:hAnsi="Montserrat SemiBold"/>
                <w:b/>
                <w:color w:val="FFFFFF"/>
                <w:sz w:val="17"/>
              </w:rPr>
              <w:t>Modelo</w:t>
            </w:r>
          </w:p>
        </w:tc>
        <w:tc>
          <w:tcPr>
            <w:tcW w:type="dxa" w:w="1260"/>
            <w:shd w:fill="1E3A8A"/>
          </w:tcPr>
          <w:p>
            <w:pPr>
              <w:jc w:val="center"/>
            </w:pPr>
            <w:r>
              <w:rPr>
                <w:rFonts w:ascii="Montserrat SemiBold" w:hAnsi="Montserrat SemiBold"/>
                <w:b/>
                <w:color w:val="FFFFFF"/>
                <w:sz w:val="17"/>
              </w:rPr>
              <w:t>Accuracy</w:t>
            </w:r>
          </w:p>
        </w:tc>
        <w:tc>
          <w:tcPr>
            <w:tcW w:type="dxa" w:w="1260"/>
            <w:shd w:fill="1E3A8A"/>
          </w:tcPr>
          <w:p>
            <w:pPr>
              <w:jc w:val="center"/>
            </w:pPr>
            <w:r>
              <w:rPr>
                <w:rFonts w:ascii="Montserrat SemiBold" w:hAnsi="Montserrat SemiBold"/>
                <w:b/>
                <w:color w:val="FFFFFF"/>
                <w:sz w:val="17"/>
              </w:rPr>
              <w:t>F1 Macro</w:t>
            </w:r>
          </w:p>
        </w:tc>
        <w:tc>
          <w:tcPr>
            <w:tcW w:type="dxa" w:w="1260"/>
            <w:shd w:fill="1E3A8A"/>
          </w:tcPr>
          <w:p>
            <w:pPr>
              <w:jc w:val="center"/>
            </w:pPr>
            <w:r>
              <w:rPr>
                <w:rFonts w:ascii="Montserrat SemiBold" w:hAnsi="Montserrat SemiBold"/>
                <w:b/>
                <w:color w:val="FFFFFF"/>
                <w:sz w:val="17"/>
              </w:rPr>
              <w:t>Kappa</w:t>
            </w:r>
          </w:p>
        </w:tc>
        <w:tc>
          <w:tcPr>
            <w:tcW w:type="dxa" w:w="1260"/>
            <w:shd w:fill="1E3A8A"/>
          </w:tcPr>
          <w:p>
            <w:pPr>
              <w:jc w:val="center"/>
            </w:pPr>
            <w:r>
              <w:rPr>
                <w:rFonts w:ascii="Montserrat SemiBold" w:hAnsi="Montserrat SemiBold"/>
                <w:b/>
                <w:color w:val="FFFFFF"/>
                <w:sz w:val="17"/>
              </w:rPr>
              <w:t>F1 N1</w:t>
            </w:r>
          </w:p>
        </w:tc>
        <w:tc>
          <w:tcPr>
            <w:tcW w:type="dxa" w:w="1260"/>
            <w:shd w:fill="1E3A8A"/>
          </w:tcPr>
          <w:p>
            <w:pPr>
              <w:jc w:val="center"/>
            </w:pPr>
            <w:r>
              <w:rPr>
                <w:rFonts w:ascii="Montserrat SemiBold" w:hAnsi="Montserrat SemiBold"/>
                <w:b/>
                <w:color w:val="FFFFFF"/>
                <w:sz w:val="17"/>
              </w:rPr>
              <w:t>F1 N2</w:t>
            </w:r>
          </w:p>
        </w:tc>
        <w:tc>
          <w:tcPr>
            <w:tcW w:type="dxa" w:w="1260"/>
            <w:shd w:fill="1E3A8A"/>
          </w:tcPr>
          <w:p>
            <w:pPr>
              <w:jc w:val="center"/>
            </w:pPr>
            <w:r>
              <w:rPr>
                <w:rFonts w:ascii="Montserrat SemiBold" w:hAnsi="Montserrat SemiBold"/>
                <w:b/>
                <w:color w:val="FFFFFF"/>
                <w:sz w:val="17"/>
              </w:rPr>
              <w:t>F1 N3</w:t>
            </w:r>
          </w:p>
        </w:tc>
        <w:tc>
          <w:tcPr>
            <w:tcW w:type="dxa" w:w="1260"/>
            <w:shd w:fill="1E3A8A"/>
          </w:tcPr>
          <w:p>
            <w:pPr>
              <w:jc w:val="center"/>
            </w:pPr>
            <w:r>
              <w:rPr>
                <w:rFonts w:ascii="Montserrat SemiBold" w:hAnsi="Montserrat SemiBold"/>
                <w:b/>
                <w:color w:val="FFFFFF"/>
                <w:sz w:val="17"/>
              </w:rPr>
              <w:t>F1 REM</w:t>
            </w:r>
          </w:p>
        </w:tc>
      </w:tr>
      <w:tr>
        <w:tc>
          <w:tcPr>
            <w:tcW w:type="dxa" w:w="1260"/>
            <w:shd w:fill="F8FAFC"/>
          </w:tcPr>
          <w:p>
            <w:pPr>
              <w:jc w:val="left"/>
            </w:pPr>
            <w:r>
              <w:rPr>
                <w:rFonts w:ascii="Montserrat Light" w:hAnsi="Montserrat Light"/>
                <w:b/>
                <w:sz w:val="16"/>
              </w:rPr>
              <w:t>Random Forest (Baseline)</w:t>
            </w:r>
          </w:p>
        </w:tc>
        <w:tc>
          <w:tcPr>
            <w:tcW w:type="dxa" w:w="1260"/>
            <w:shd w:fill="F8FAFC"/>
          </w:tcPr>
          <w:p>
            <w:pPr>
              <w:jc w:val="center"/>
            </w:pPr>
            <w:r>
              <w:rPr>
                <w:rFonts w:ascii="Montserrat Light" w:hAnsi="Montserrat Light"/>
                <w:sz w:val="16"/>
              </w:rPr>
              <w:t>40.27 %</w:t>
            </w:r>
          </w:p>
        </w:tc>
        <w:tc>
          <w:tcPr>
            <w:tcW w:type="dxa" w:w="1260"/>
            <w:shd w:fill="F8FAFC"/>
          </w:tcPr>
          <w:p>
            <w:pPr>
              <w:jc w:val="center"/>
            </w:pPr>
            <w:r>
              <w:rPr>
                <w:rFonts w:ascii="Montserrat Light" w:hAnsi="Montserrat Light"/>
                <w:sz w:val="16"/>
              </w:rPr>
              <w:t>0.2645</w:t>
            </w:r>
          </w:p>
        </w:tc>
        <w:tc>
          <w:tcPr>
            <w:tcW w:type="dxa" w:w="1260"/>
            <w:shd w:fill="F8FAFC"/>
          </w:tcPr>
          <w:p>
            <w:pPr>
              <w:jc w:val="center"/>
            </w:pPr>
            <w:r>
              <w:rPr>
                <w:rFonts w:ascii="Montserrat Light" w:hAnsi="Montserrat Light"/>
                <w:sz w:val="16"/>
              </w:rPr>
              <w:t>0.1769</w:t>
            </w:r>
          </w:p>
        </w:tc>
        <w:tc>
          <w:tcPr>
            <w:tcW w:type="dxa" w:w="1260"/>
            <w:shd w:fill="F8FAFC"/>
          </w:tcPr>
          <w:p>
            <w:pPr>
              <w:jc w:val="center"/>
            </w:pPr>
            <w:r>
              <w:rPr>
                <w:rFonts w:ascii="Montserrat Light" w:hAnsi="Montserrat Light"/>
                <w:sz w:val="16"/>
              </w:rPr>
              <w:t>0.0241</w:t>
            </w:r>
          </w:p>
        </w:tc>
        <w:tc>
          <w:tcPr>
            <w:tcW w:type="dxa" w:w="1260"/>
            <w:shd w:fill="F8FAFC"/>
          </w:tcPr>
          <w:p>
            <w:pPr>
              <w:jc w:val="center"/>
            </w:pPr>
            <w:r>
              <w:rPr>
                <w:rFonts w:ascii="Montserrat Light" w:hAnsi="Montserrat Light"/>
                <w:sz w:val="16"/>
              </w:rPr>
              <w:t>0.4486</w:t>
            </w:r>
          </w:p>
        </w:tc>
        <w:tc>
          <w:tcPr>
            <w:tcW w:type="dxa" w:w="1260"/>
            <w:shd w:fill="F8FAFC"/>
          </w:tcPr>
          <w:p>
            <w:pPr>
              <w:jc w:val="center"/>
            </w:pPr>
            <w:r>
              <w:rPr>
                <w:rFonts w:ascii="Montserrat Light" w:hAnsi="Montserrat Light"/>
                <w:sz w:val="16"/>
              </w:rPr>
              <w:t>0.1143</w:t>
            </w:r>
          </w:p>
        </w:tc>
        <w:tc>
          <w:tcPr>
            <w:tcW w:type="dxa" w:w="1260"/>
            <w:shd w:fill="F8FAFC"/>
          </w:tcPr>
          <w:p>
            <w:pPr>
              <w:jc w:val="center"/>
            </w:pPr>
            <w:r>
              <w:rPr>
                <w:rFonts w:ascii="Montserrat Light" w:hAnsi="Montserrat Light"/>
                <w:sz w:val="16"/>
              </w:rPr>
              <w:t>0.2766</w:t>
            </w:r>
          </w:p>
        </w:tc>
      </w:tr>
      <w:tr>
        <w:tc>
          <w:tcPr>
            <w:tcW w:type="dxa" w:w="1260"/>
            <w:shd w:fill="FFFFFF"/>
          </w:tcPr>
          <w:p>
            <w:pPr>
              <w:jc w:val="left"/>
            </w:pPr>
            <w:r>
              <w:rPr>
                <w:rFonts w:ascii="Montserrat Light" w:hAnsi="Montserrat Light"/>
                <w:b/>
                <w:sz w:val="16"/>
              </w:rPr>
              <w:t>LightGBM (Optimizado)</w:t>
            </w:r>
          </w:p>
        </w:tc>
        <w:tc>
          <w:tcPr>
            <w:tcW w:type="dxa" w:w="1260"/>
            <w:shd w:fill="FFFFFF"/>
          </w:tcPr>
          <w:p>
            <w:pPr>
              <w:jc w:val="center"/>
            </w:pPr>
            <w:r>
              <w:rPr>
                <w:rFonts w:ascii="Montserrat Light" w:hAnsi="Montserrat Light"/>
                <w:sz w:val="16"/>
              </w:rPr>
              <w:t>67.21 %</w:t>
            </w:r>
          </w:p>
        </w:tc>
        <w:tc>
          <w:tcPr>
            <w:tcW w:type="dxa" w:w="1260"/>
            <w:shd w:fill="FFFFFF"/>
          </w:tcPr>
          <w:p>
            <w:pPr>
              <w:jc w:val="center"/>
            </w:pPr>
            <w:r>
              <w:rPr>
                <w:rFonts w:ascii="Montserrat Light" w:hAnsi="Montserrat Light"/>
                <w:sz w:val="16"/>
              </w:rPr>
              <w:t>0.5525</w:t>
            </w:r>
          </w:p>
        </w:tc>
        <w:tc>
          <w:tcPr>
            <w:tcW w:type="dxa" w:w="1260"/>
            <w:shd w:fill="FFFFFF"/>
          </w:tcPr>
          <w:p>
            <w:pPr>
              <w:jc w:val="center"/>
            </w:pPr>
            <w:r>
              <w:rPr>
                <w:rFonts w:ascii="Montserrat Light" w:hAnsi="Montserrat Light"/>
                <w:sz w:val="16"/>
              </w:rPr>
              <w:t>0.5424</w:t>
            </w:r>
          </w:p>
        </w:tc>
        <w:tc>
          <w:tcPr>
            <w:tcW w:type="dxa" w:w="1260"/>
            <w:shd w:fill="FFFFFF"/>
          </w:tcPr>
          <w:p>
            <w:pPr>
              <w:jc w:val="center"/>
            </w:pPr>
            <w:r>
              <w:rPr>
                <w:rFonts w:ascii="Montserrat Light" w:hAnsi="Montserrat Light"/>
                <w:sz w:val="16"/>
              </w:rPr>
              <w:t>0.0874</w:t>
            </w:r>
          </w:p>
        </w:tc>
        <w:tc>
          <w:tcPr>
            <w:tcW w:type="dxa" w:w="1260"/>
            <w:shd w:fill="FFFFFF"/>
          </w:tcPr>
          <w:p>
            <w:pPr>
              <w:jc w:val="center"/>
            </w:pPr>
            <w:r>
              <w:rPr>
                <w:rFonts w:ascii="Montserrat Light" w:hAnsi="Montserrat Light"/>
                <w:sz w:val="16"/>
              </w:rPr>
              <w:t>0.7933</w:t>
            </w:r>
          </w:p>
        </w:tc>
        <w:tc>
          <w:tcPr>
            <w:tcW w:type="dxa" w:w="1260"/>
            <w:shd w:fill="FFFFFF"/>
          </w:tcPr>
          <w:p>
            <w:pPr>
              <w:jc w:val="center"/>
            </w:pPr>
            <w:r>
              <w:rPr>
                <w:rFonts w:ascii="Montserrat Light" w:hAnsi="Montserrat Light"/>
                <w:sz w:val="16"/>
              </w:rPr>
              <w:t>0.7112</w:t>
            </w:r>
          </w:p>
        </w:tc>
        <w:tc>
          <w:tcPr>
            <w:tcW w:type="dxa" w:w="1260"/>
            <w:shd w:fill="FFFFFF"/>
          </w:tcPr>
          <w:p>
            <w:pPr>
              <w:jc w:val="center"/>
            </w:pPr>
            <w:r>
              <w:rPr>
                <w:rFonts w:ascii="Montserrat Light" w:hAnsi="Montserrat Light"/>
                <w:sz w:val="16"/>
              </w:rPr>
              <w:t>0.3836</w:t>
            </w:r>
          </w:p>
        </w:tc>
      </w:tr>
      <w:tr>
        <w:tc>
          <w:tcPr>
            <w:tcW w:type="dxa" w:w="1260"/>
            <w:shd w:fill="F8FAFC"/>
          </w:tcPr>
          <w:p>
            <w:pPr>
              <w:jc w:val="left"/>
            </w:pPr>
            <w:r>
              <w:rPr>
                <w:rFonts w:ascii="Montserrat Light" w:hAnsi="Montserrat Light"/>
                <w:b/>
                <w:sz w:val="16"/>
              </w:rPr>
              <w:t>TinySleepNet (1D-CNN+BiLSTM)</w:t>
            </w:r>
          </w:p>
        </w:tc>
        <w:tc>
          <w:tcPr>
            <w:tcW w:type="dxa" w:w="1260"/>
            <w:shd w:fill="F8FAFC"/>
          </w:tcPr>
          <w:p>
            <w:pPr>
              <w:jc w:val="center"/>
            </w:pPr>
            <w:r>
              <w:rPr>
                <w:rFonts w:ascii="Montserrat Light" w:hAnsi="Montserrat Light"/>
                <w:sz w:val="16"/>
              </w:rPr>
              <w:t>50.24 %</w:t>
            </w:r>
          </w:p>
        </w:tc>
        <w:tc>
          <w:tcPr>
            <w:tcW w:type="dxa" w:w="1260"/>
            <w:shd w:fill="F8FAFC"/>
          </w:tcPr>
          <w:p>
            <w:pPr>
              <w:jc w:val="center"/>
            </w:pPr>
            <w:r>
              <w:rPr>
                <w:rFonts w:ascii="Montserrat Light" w:hAnsi="Montserrat Light"/>
                <w:sz w:val="16"/>
              </w:rPr>
              <w:t>0.1338</w:t>
            </w:r>
          </w:p>
        </w:tc>
        <w:tc>
          <w:tcPr>
            <w:tcW w:type="dxa" w:w="1260"/>
            <w:shd w:fill="F8FAFC"/>
          </w:tcPr>
          <w:p>
            <w:pPr>
              <w:jc w:val="center"/>
            </w:pPr>
            <w:r>
              <w:rPr>
                <w:rFonts w:ascii="Montserrat Light" w:hAnsi="Montserrat Light"/>
                <w:sz w:val="16"/>
              </w:rPr>
              <w:t>0.0000</w:t>
            </w:r>
          </w:p>
        </w:tc>
        <w:tc>
          <w:tcPr>
            <w:tcW w:type="dxa" w:w="1260"/>
            <w:shd w:fill="F8FAFC"/>
          </w:tcPr>
          <w:p>
            <w:pPr>
              <w:jc w:val="center"/>
            </w:pPr>
            <w:r>
              <w:rPr>
                <w:rFonts w:ascii="Montserrat Light" w:hAnsi="Montserrat Light"/>
                <w:sz w:val="16"/>
              </w:rPr>
              <w:t>0.0000</w:t>
            </w:r>
          </w:p>
        </w:tc>
        <w:tc>
          <w:tcPr>
            <w:tcW w:type="dxa" w:w="1260"/>
            <w:shd w:fill="F8FAFC"/>
          </w:tcPr>
          <w:p>
            <w:pPr>
              <w:jc w:val="center"/>
            </w:pPr>
            <w:r>
              <w:rPr>
                <w:rFonts w:ascii="Montserrat Light" w:hAnsi="Montserrat Light"/>
                <w:sz w:val="16"/>
              </w:rPr>
              <w:t>0.6688</w:t>
            </w:r>
          </w:p>
        </w:tc>
        <w:tc>
          <w:tcPr>
            <w:tcW w:type="dxa" w:w="1260"/>
            <w:shd w:fill="F8FAFC"/>
          </w:tcPr>
          <w:p>
            <w:pPr>
              <w:jc w:val="center"/>
            </w:pPr>
            <w:r>
              <w:rPr>
                <w:rFonts w:ascii="Montserrat Light" w:hAnsi="Montserrat Light"/>
                <w:sz w:val="16"/>
              </w:rPr>
              <w:t>0.0000</w:t>
            </w:r>
          </w:p>
        </w:tc>
        <w:tc>
          <w:tcPr>
            <w:tcW w:type="dxa" w:w="1260"/>
            <w:shd w:fill="F8FAFC"/>
          </w:tcPr>
          <w:p>
            <w:pPr>
              <w:jc w:val="center"/>
            </w:pPr>
            <w:r>
              <w:rPr>
                <w:rFonts w:ascii="Montserrat Light" w:hAnsi="Montserrat Light"/>
                <w:sz w:val="16"/>
              </w:rPr>
              <w:t>0.0000</w:t>
            </w:r>
          </w:p>
        </w:tc>
      </w:tr>
    </w:tbl>
    <w:p>
      <w:pPr>
        <w:spacing w:before="40" w:after="80" w:line="276" w:lineRule="auto"/>
      </w:pPr>
      <w:r>
        <w:rPr>
          <w:rFonts w:ascii="Montserrat SemiBold" w:hAnsi="Montserrat SemiBold"/>
          <w:b/>
          <w:color w:val="0F172A"/>
          <w:sz w:val="19"/>
        </w:rPr>
        <w:t xml:space="preserve">Evidencia de Despliegue en AWS EC2: </w:t>
      </w:r>
      <w:r>
        <w:rPr>
          <w:rFonts w:ascii="Montserrat Light" w:hAnsi="Montserrat Light"/>
          <w:i w:val="0"/>
          <w:color w:val="1E293B"/>
          <w:sz w:val="19"/>
        </w:rPr>
        <w:t>La evidencia del despliegue en la nube incluye la consola de administración de AWS EC2 con la máquina virtual activa (usuario 'ubuntu' y dirección IP 54.235.50.255 claramente visibles), en concordancia estricta con el requerimiento de la rúbrica.</w:t>
      </w:r>
    </w:p>
    <w:p>
      <w:pPr>
        <w:keepNext/>
        <w:spacing w:before="280" w:after="80"/>
      </w:pPr>
      <w:r>
        <w:rPr>
          <w:rFonts w:ascii="Montserrat SemiBold" w:hAnsi="Montserrat SemiBold"/>
          <w:b/>
          <w:color w:val="1E3A8A"/>
          <w:sz w:val="28"/>
        </w:rPr>
        <w:t>4. Observaciones Clínicas y Conclusiones sobre los Modelos</w:t>
      </w:r>
    </w:p>
    <w:p>
      <w:pPr>
        <w:spacing w:before="40" w:after="80" w:line="276" w:lineRule="auto"/>
      </w:pPr>
      <w:r>
        <w:rPr>
          <w:rFonts w:ascii="Montserrat SemiBold" w:hAnsi="Montserrat SemiBold"/>
          <w:b/>
          <w:color w:val="0F172A"/>
          <w:sz w:val="19"/>
        </w:rPr>
        <w:t xml:space="preserve">Rendimiento Comparativo y Separabilidad Espectral: </w:t>
      </w:r>
      <w:r>
        <w:rPr>
          <w:rFonts w:ascii="Montserrat Light" w:hAnsi="Montserrat Light"/>
          <w:i w:val="0"/>
          <w:color w:val="1E293B"/>
          <w:sz w:val="19"/>
        </w:rPr>
        <w:t>LightGBM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husos de sueño en N2.</w:t>
      </w:r>
    </w:p>
    <w:p>
      <w:pPr>
        <w:spacing w:before="40" w:after="80" w:line="276" w:lineRule="auto"/>
      </w:pPr>
      <w:r>
        <w:rPr>
          <w:rFonts w:ascii="Montserrat SemiBold" w:hAnsi="Montserrat SemiBold"/>
          <w:b/>
          <w:color w:val="0F172A"/>
          <w:sz w:val="19"/>
        </w:rPr>
        <w:t xml:space="preserve">La Falacia de la Exactitud frente al Desbalance de Clases: </w:t>
      </w:r>
      <w:r>
        <w:rPr>
          <w:rFonts w:ascii="Montserrat Light" w:hAnsi="Montserrat Light"/>
          <w:i w:val="0"/>
          <w:color w:val="1E293B"/>
          <w:sz w:val="19"/>
        </w:rPr>
        <w:t>La evaluación cuantitativa ratifica la limitación de utilizar la Exactitud (Accuracy) como métrica primaria en polisomnografía. En TinySleepNet, una exactitud superficial de 50.24% ocultó un colapso del modelo hacia la clase mayoritaria (N2), arrojando un Kappa de 0.0000. Por el contrario, el Macro F1-Score y el Kappa ponderan equitativamente la capacidad de discernir estadios minoritarios pero clínicamente cruciales como REM (F1=0.3836 en LightGBM) y N1.</w:t>
      </w:r>
    </w:p>
    <w:p>
      <w:pPr>
        <w:spacing w:before="40" w:after="80" w:line="276" w:lineRule="auto"/>
      </w:pPr>
      <w:r>
        <w:rPr>
          <w:rFonts w:ascii="Montserrat SemiBold" w:hAnsi="Montserrat SemiBold"/>
          <w:b/>
          <w:color w:val="0F172A"/>
          <w:sz w:val="19"/>
        </w:rPr>
        <w:t xml:space="preserve">Diagnóstico del Estadio N1 y Transiciones: </w:t>
      </w:r>
      <w:r>
        <w:rPr>
          <w:rFonts w:ascii="Montserrat Light" w:hAnsi="Montserrat Light"/>
          <w:i w:val="0"/>
          <w:color w:val="1E293B"/>
          <w:sz w:val="19"/>
        </w:rPr>
        <w:t>El estadio N1 sigue representando el mayor desafío diagnóstico en EEG mono-canal (F1=0.0874), lo cual concuerda con la literatura científica donde incluso técnicos humanos presentan una concordancia inter-evaluador de apenas 60–65% en este estadio de transición. Para la siguiente iteración, se propone incorporar información contextual de épocas contiguas (época t-1 y t+1) para enriquecer la dinámica temporal de la transición Vigilia-Sueño.</w:t>
      </w:r>
    </w:p>
    <w:p>
      <w:pPr>
        <w:spacing w:before="40" w:after="80" w:line="276" w:lineRule="auto"/>
      </w:pPr>
      <w:r>
        <w:rPr>
          <w:rFonts w:ascii="Montserrat SemiBold" w:hAnsi="Montserrat SemiBold"/>
          <w:b/>
          <w:color w:val="0F172A"/>
          <w:sz w:val="19"/>
        </w:rPr>
        <w:t xml:space="preserve">Trade-offs de Despliegue (Latencia vs Interpretabilidad): </w:t>
      </w:r>
      <w:r>
        <w:rPr>
          <w:rFonts w:ascii="Montserrat Light" w:hAnsi="Montserrat Light"/>
          <w:i w:val="0"/>
          <w:color w:val="1E293B"/>
          <w:sz w:val="19"/>
        </w:rPr>
        <w:t>Para un entorno clínico asistencial, LightGBM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explicabilidad médica ante el profesional de la salud.</w:t>
      </w:r>
    </w:p>
    <w:p>
      <w:pPr>
        <w:keepNext/>
        <w:spacing w:before="280" w:after="80"/>
      </w:pPr>
      <w:r>
        <w:rPr>
          <w:rFonts w:ascii="Montserrat SemiBold" w:hAnsi="Montserrat SemiBold"/>
          <w:b/>
          <w:color w:val="1E3A8A"/>
          <w:sz w:val="28"/>
        </w:rPr>
        <w:t>5. Prototipo Funcional del Tablero Interactivo (Streamlit)</w:t>
      </w:r>
    </w:p>
    <w:p>
      <w:pPr>
        <w:spacing w:before="40" w:after="80" w:line="276" w:lineRule="auto"/>
      </w:pPr>
      <w:r>
        <w:rPr>
          <w:rFonts w:ascii="Montserrat SemiBold" w:hAnsi="Montserrat SemiBold"/>
          <w:b/>
          <w:color w:val="0F172A"/>
          <w:sz w:val="19"/>
        </w:rPr>
        <w:t xml:space="preserve">Arquitectura del Tablero Clínico: </w:t>
      </w:r>
      <w:r>
        <w:rPr>
          <w:rFonts w:ascii="Montserrat Light" w:hAnsi="Montserrat Light"/>
          <w:i w:val="0"/>
          <w:color w:val="1E293B"/>
          <w:sz w:val="19"/>
        </w:rPr>
        <w:t>Fiel a la maqueta interactiva aprobada en la Entrega 1 ('SomnoScope'), se construyó la aplicación interactiva funcional en Streamlit (ubicada en app/dashboard.py), integrando el modelo LightGBM empaquetado y permitiendo al especialista realizar una inspección visual y cuantitativa en tiempo real.</w:t>
      </w:r>
    </w:p>
    <w:p>
      <w:pPr>
        <w:pStyle w:val="Listaconvietas"/>
        <w:spacing w:before="20" w:after="40" w:line="264" w:lineRule="auto"/>
      </w:pPr>
      <w:r>
        <w:rPr>
          <w:rFonts w:ascii="Montserrat SemiBold" w:hAnsi="Montserrat SemiBold"/>
          <w:b/>
          <w:sz w:val="18"/>
        </w:rPr>
        <w:t xml:space="preserve">Panel de Configuración e Ingesta: </w:t>
      </w:r>
      <w:r>
        <w:rPr>
          <w:rFonts w:ascii="Montserrat Light" w:hAnsi="Montserrat Light"/>
          <w:sz w:val="18"/>
        </w:rPr>
        <w:t>Permite seleccionar registros de polisomnografía (.edf de sleep-cassette y sleep-telemetry) y configurar dinámicamente el canal de derivación primario (EEG Fpz-Cz o EEG Pz-Oz).</w:t>
      </w:r>
    </w:p>
    <w:p>
      <w:pPr>
        <w:pStyle w:val="Listaconvietas"/>
        <w:spacing w:before="20" w:after="40" w:line="264" w:lineRule="auto"/>
      </w:pPr>
      <w:r>
        <w:rPr>
          <w:rFonts w:ascii="Montserrat SemiBold" w:hAnsi="Montserrat SemiBold"/>
          <w:b/>
          <w:sz w:val="18"/>
        </w:rPr>
        <w:t xml:space="preserve">Tarjetas de KPIs de Arquitectura de Sueño: </w:t>
      </w:r>
      <w:r>
        <w:rPr>
          <w:rFonts w:ascii="Montserrat Light" w:hAnsi="Montserrat Light"/>
          <w:sz w:val="18"/>
        </w:rPr>
        <w:t>Calcula automáticamente el Tiempo Total en Cama (TIB), Tiempo Total de Sueño (TST), Eficiencia de Sueño (%), Latencia de Sueño (SOL) y Minutos de Vigilia Intra-Sueño (WASO), con semáforo de normalidad clínica.</w:t>
      </w:r>
    </w:p>
    <w:p>
      <w:pPr>
        <w:pStyle w:val="Listaconvietas"/>
        <w:spacing w:before="20" w:after="40" w:line="264" w:lineRule="auto"/>
      </w:pPr>
      <w:r>
        <w:rPr>
          <w:rFonts w:ascii="Montserrat SemiBold" w:hAnsi="Montserrat SemiBold"/>
          <w:b/>
          <w:sz w:val="18"/>
        </w:rPr>
        <w:t xml:space="preserve">Visualizador del Hipnograma Clínico Nocturno: </w:t>
      </w:r>
      <w:r>
        <w:rPr>
          <w:rFonts w:ascii="Montserrat Light" w:hAnsi="Montserrat Light"/>
          <w:sz w:val="18"/>
        </w:rPr>
        <w:t>Despliega el hipnograma completo de la noche ordenado en el eje vertical según el estándar clínico (W, REM, N1, N2, N3) con navegación y zoom temporal interactivo.</w:t>
      </w:r>
    </w:p>
    <w:p>
      <w:pPr>
        <w:pStyle w:val="Listaconvietas"/>
        <w:spacing w:before="20" w:after="40" w:line="264" w:lineRule="auto"/>
      </w:pPr>
      <w:r>
        <w:rPr>
          <w:rFonts w:ascii="Montserrat SemiBold" w:hAnsi="Montserrat SemiBold"/>
          <w:b/>
          <w:sz w:val="18"/>
        </w:rPr>
        <w:t xml:space="preserve">Inspector Detallado de Época (30s): </w:t>
      </w:r>
      <w:r>
        <w:rPr>
          <w:rFonts w:ascii="Montserrat Light" w:hAnsi="Montserrat Light"/>
          <w:sz w:val="18"/>
        </w:rPr>
        <w:t>Permite seleccionar mediante un control deslizante cualquier época de 30 segundos, visualizando la señal bioeléctrica continua (3,000 puntos) y la gráfica de barras de probabilidades de certeza de predicción por estadio.</w:t>
      </w:r>
    </w:p>
    <w:p>
      <w:pPr>
        <w:spacing w:before="40" w:after="80" w:line="276" w:lineRule="auto"/>
      </w:pPr>
      <w:r>
        <w:rPr>
          <w:rFonts w:ascii="Montserrat SemiBold" w:hAnsi="Montserrat SemiBold"/>
          <w:b/>
          <w:color w:val="0F172A"/>
          <w:sz w:val="19"/>
        </w:rPr>
        <w:t xml:space="preserve">Trazabilidad y Fuentes de Código: </w:t>
      </w:r>
      <w:r>
        <w:rPr>
          <w:rFonts w:ascii="Montserrat Light" w:hAnsi="Montserrat Light"/>
          <w:i w:val="0"/>
          <w:color w:val="1E293B"/>
          <w:sz w:val="19"/>
        </w:rPr>
        <w:t>Los repositorios del código, modelos y tablero se encuentran versionados en GitHub en la rama de trabajo 'Arturo_Molina': https://github.com/Nicolasdgg/MicroP1MAIA/tree/Arturo_Molina. Los pesos del modelo optimizado se encuentran empaquetados en 'models/best_sleep_model.pkl'.</w:t>
      </w:r>
    </w:p>
    <w:p>
      <w:pPr>
        <w:keepNext/>
        <w:spacing w:before="280" w:after="80"/>
      </w:pPr>
      <w:r>
        <w:rPr>
          <w:rFonts w:ascii="Montserrat SemiBold" w:hAnsi="Montserrat SemiBold"/>
          <w:b/>
          <w:color w:val="1E3A8A"/>
          <w:sz w:val="28"/>
        </w:rPr>
        <w:t>6. Reporte de Trabajo en Equipo y Contribuciones Individuales</w:t>
      </w:r>
    </w:p>
    <w:p>
      <w:pPr>
        <w:spacing w:before="40" w:after="80" w:line="276" w:lineRule="auto"/>
      </w:pPr>
      <w:r>
        <w:rPr>
          <w:rFonts w:ascii="Montserrat SemiBold" w:hAnsi="Montserrat SemiBold"/>
          <w:b/>
          <w:color w:val="0F172A"/>
          <w:sz w:val="19"/>
        </w:rPr>
        <w:t xml:space="preserve">Metodología Colaborativa: </w:t>
      </w:r>
      <w:r>
        <w:rPr>
          <w:rFonts w:ascii="Montserrat Light" w:hAnsi="Montserrat Light"/>
          <w:i w:val="0"/>
          <w:color w:val="1E293B"/>
          <w:sz w:val="19"/>
        </w:rPr>
        <w:t>En estricto cumplimiento de los lineamientos del curso, el desarrollo de la Entrega 2 se coordinó de forma colaborativa y desacoplada, garantizando que cada miembro del equipo asumiera la responsabilidad de entregables técnicos concretos reflejados en commits individuales dentro del repositorio de Git.</w:t>
      </w:r>
    </w:p>
    <w:p>
      <w:pPr>
        <w:keepNext/>
        <w:spacing w:before="280" w:after="80"/>
      </w:pPr>
      <w:r>
        <w:rPr>
          <w:rFonts w:ascii="Montserrat SemiBold" w:hAnsi="Montserrat SemiBold"/>
          <w:b/>
          <w:color w:val="334155"/>
          <w:sz w:val="21"/>
        </w:rPr>
        <w:t>Tabla 2: Matriz de Responsabilidades, Dedicación y Trazabilidad en Git</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fill="1E3A8A"/>
          </w:tcPr>
          <w:p>
            <w:pPr>
              <w:jc w:val="center"/>
            </w:pPr>
            <w:r>
              <w:rPr>
                <w:rFonts w:ascii="Montserrat SemiBold" w:hAnsi="Montserrat SemiBold"/>
                <w:b/>
                <w:color w:val="FFFFFF"/>
                <w:sz w:val="16"/>
              </w:rPr>
              <w:t>Miembro</w:t>
            </w:r>
          </w:p>
        </w:tc>
        <w:tc>
          <w:tcPr>
            <w:tcW w:type="dxa" w:w="2016"/>
            <w:shd w:fill="1E3A8A"/>
          </w:tcPr>
          <w:p>
            <w:pPr>
              <w:jc w:val="center"/>
            </w:pPr>
            <w:r>
              <w:rPr>
                <w:rFonts w:ascii="Montserrat SemiBold" w:hAnsi="Montserrat SemiBold"/>
                <w:b/>
                <w:color w:val="FFFFFF"/>
                <w:sz w:val="16"/>
              </w:rPr>
              <w:t>Rol Asignado</w:t>
            </w:r>
          </w:p>
        </w:tc>
        <w:tc>
          <w:tcPr>
            <w:tcW w:type="dxa" w:w="2016"/>
            <w:shd w:fill="1E3A8A"/>
          </w:tcPr>
          <w:p>
            <w:pPr>
              <w:jc w:val="center"/>
            </w:pPr>
            <w:r>
              <w:rPr>
                <w:rFonts w:ascii="Montserrat SemiBold" w:hAnsi="Montserrat SemiBold"/>
                <w:b/>
                <w:color w:val="FFFFFF"/>
                <w:sz w:val="16"/>
              </w:rPr>
              <w:t>Horas</w:t>
            </w:r>
          </w:p>
        </w:tc>
        <w:tc>
          <w:tcPr>
            <w:tcW w:type="dxa" w:w="2016"/>
            <w:shd w:fill="1E3A8A"/>
          </w:tcPr>
          <w:p>
            <w:pPr>
              <w:jc w:val="center"/>
            </w:pPr>
            <w:r>
              <w:rPr>
                <w:rFonts w:ascii="Montserrat SemiBold" w:hAnsi="Montserrat SemiBold"/>
                <w:b/>
                <w:color w:val="FFFFFF"/>
                <w:sz w:val="16"/>
              </w:rPr>
              <w:t>Actividades Principales</w:t>
            </w:r>
          </w:p>
        </w:tc>
        <w:tc>
          <w:tcPr>
            <w:tcW w:type="dxa" w:w="2016"/>
            <w:shd w:fill="1E3A8A"/>
          </w:tcPr>
          <w:p>
            <w:pPr>
              <w:jc w:val="center"/>
            </w:pPr>
            <w:r>
              <w:rPr>
                <w:rFonts w:ascii="Montserrat SemiBold" w:hAnsi="Montserrat SemiBold"/>
                <w:b/>
                <w:color w:val="FFFFFF"/>
                <w:sz w:val="16"/>
              </w:rPr>
              <w:t>Evidencia en Repositorio (Git)</w:t>
            </w:r>
          </w:p>
        </w:tc>
      </w:tr>
      <w:tr>
        <w:tc>
          <w:tcPr>
            <w:tcW w:type="dxa" w:w="2016"/>
            <w:shd w:fill="F8FAFC"/>
          </w:tcPr>
          <w:p>
            <w:pPr>
              <w:jc w:val="left"/>
            </w:pPr>
            <w:r>
              <w:rPr>
                <w:rFonts w:ascii="Montserrat Light" w:hAnsi="Montserrat Light"/>
                <w:b/>
                <w:sz w:val="15"/>
              </w:rPr>
              <w:t>Arturo Molina</w:t>
            </w:r>
          </w:p>
        </w:tc>
        <w:tc>
          <w:tcPr>
            <w:tcW w:type="dxa" w:w="2016"/>
            <w:shd w:fill="F8FAFC"/>
          </w:tcPr>
          <w:p>
            <w:pPr>
              <w:jc w:val="center"/>
            </w:pPr>
            <w:r>
              <w:rPr>
                <w:rFonts w:ascii="Montserrat Light" w:hAnsi="Montserrat Light"/>
                <w:sz w:val="15"/>
              </w:rPr>
              <w:t>ML Engineering &amp; Dashboard</w:t>
            </w:r>
          </w:p>
        </w:tc>
        <w:tc>
          <w:tcPr>
            <w:tcW w:type="dxa" w:w="2016"/>
            <w:shd w:fill="F8FAFC"/>
          </w:tcPr>
          <w:p>
            <w:pPr>
              <w:jc w:val="center"/>
            </w:pPr>
            <w:r>
              <w:rPr>
                <w:rFonts w:ascii="Montserrat Light" w:hAnsi="Montserrat Light"/>
                <w:sz w:val="15"/>
              </w:rPr>
              <w:t>18 h</w:t>
            </w:r>
          </w:p>
        </w:tc>
        <w:tc>
          <w:tcPr>
            <w:tcW w:type="dxa" w:w="2016"/>
            <w:shd w:fill="F8FAFC"/>
          </w:tcPr>
          <w:p>
            <w:pPr>
              <w:jc w:val="left"/>
            </w:pPr>
            <w:r>
              <w:rPr>
                <w:rFonts w:ascii="Montserrat Light" w:hAnsi="Montserrat Light"/>
                <w:sz w:val="15"/>
              </w:rPr>
              <w:t>Ingeniería de características espectrales (Welch PSD, Hjorth), entrenamiento y optimización de LightGBM/Random Forest, y construcción del tablero funcional en Streamlit.</w:t>
            </w:r>
          </w:p>
        </w:tc>
        <w:tc>
          <w:tcPr>
            <w:tcW w:type="dxa" w:w="2016"/>
            <w:shd w:fill="F8FAFC"/>
          </w:tcPr>
          <w:p>
            <w:pPr>
              <w:jc w:val="left"/>
            </w:pPr>
            <w:r>
              <w:rPr>
                <w:rFonts w:ascii="Montserrat Light" w:hAnsi="Montserrat Light"/>
                <w:sz w:val="15"/>
              </w:rPr>
              <w:t>Rama Arturo_Molina: commits en src/features, src/models, app/dashboard.py.</w:t>
            </w:r>
          </w:p>
        </w:tc>
      </w:tr>
      <w:tr>
        <w:tc>
          <w:tcPr>
            <w:tcW w:type="dxa" w:w="2016"/>
            <w:shd w:fill="FFFFFF"/>
          </w:tcPr>
          <w:p>
            <w:pPr>
              <w:jc w:val="left"/>
            </w:pPr>
            <w:r>
              <w:rPr>
                <w:rFonts w:ascii="Montserrat Light" w:hAnsi="Montserrat Light"/>
                <w:b/>
                <w:sz w:val="15"/>
              </w:rPr>
              <w:t>Nicolás Gómez</w:t>
            </w:r>
          </w:p>
        </w:tc>
        <w:tc>
          <w:tcPr>
            <w:tcW w:type="dxa" w:w="2016"/>
            <w:shd w:fill="FFFFFF"/>
          </w:tcPr>
          <w:p>
            <w:pPr>
              <w:jc w:val="center"/>
            </w:pPr>
            <w:r>
              <w:rPr>
                <w:rFonts w:ascii="Montserrat Light" w:hAnsi="Montserrat Light"/>
                <w:sz w:val="15"/>
              </w:rPr>
              <w:t>MLOps &amp; Coordinación</w:t>
            </w:r>
          </w:p>
        </w:tc>
        <w:tc>
          <w:tcPr>
            <w:tcW w:type="dxa" w:w="2016"/>
            <w:shd w:fill="FFFFFF"/>
          </w:tcPr>
          <w:p>
            <w:pPr>
              <w:jc w:val="center"/>
            </w:pPr>
            <w:r>
              <w:rPr>
                <w:rFonts w:ascii="Montserrat Light" w:hAnsi="Montserrat Light"/>
                <w:sz w:val="15"/>
              </w:rPr>
              <w:t>16 h</w:t>
            </w:r>
          </w:p>
        </w:tc>
        <w:tc>
          <w:tcPr>
            <w:tcW w:type="dxa" w:w="2016"/>
            <w:shd w:fill="FFFFFF"/>
          </w:tcPr>
          <w:p>
            <w:pPr>
              <w:jc w:val="left"/>
            </w:pPr>
            <w:r>
              <w:rPr>
                <w:rFonts w:ascii="Montserrat Light" w:hAnsi="Montserrat Light"/>
                <w:sz w:val="15"/>
              </w:rPr>
              <w:t>Configuración de entorno de ejecución en AWS EC2, diseño de la integración continua y soporte en la definición de la arquitectura de experimentación.</w:t>
            </w:r>
          </w:p>
        </w:tc>
        <w:tc>
          <w:tcPr>
            <w:tcW w:type="dxa" w:w="2016"/>
            <w:shd w:fill="FFFFFF"/>
          </w:tcPr>
          <w:p>
            <w:pPr>
              <w:jc w:val="left"/>
            </w:pPr>
            <w:r>
              <w:rPr>
                <w:rFonts w:ascii="Montserrat Light" w:hAnsi="Montserrat Light"/>
                <w:sz w:val="15"/>
              </w:rPr>
              <w:t>Rama main / nicolas-avance2: commits de integración de pipelines.</w:t>
            </w:r>
          </w:p>
        </w:tc>
      </w:tr>
      <w:tr>
        <w:tc>
          <w:tcPr>
            <w:tcW w:type="dxa" w:w="2016"/>
            <w:shd w:fill="F8FAFC"/>
          </w:tcPr>
          <w:p>
            <w:pPr>
              <w:jc w:val="left"/>
            </w:pPr>
            <w:r>
              <w:rPr>
                <w:rFonts w:ascii="Montserrat Light" w:hAnsi="Montserrat Light"/>
                <w:b/>
                <w:sz w:val="15"/>
              </w:rPr>
              <w:t>Daniel Franco</w:t>
            </w:r>
          </w:p>
        </w:tc>
        <w:tc>
          <w:tcPr>
            <w:tcW w:type="dxa" w:w="2016"/>
            <w:shd w:fill="F8FAFC"/>
          </w:tcPr>
          <w:p>
            <w:pPr>
              <w:jc w:val="center"/>
            </w:pPr>
            <w:r>
              <w:rPr>
                <w:rFonts w:ascii="Montserrat Light" w:hAnsi="Montserrat Light"/>
                <w:sz w:val="15"/>
              </w:rPr>
              <w:t>Deep Learning &amp; Modelado</w:t>
            </w:r>
          </w:p>
        </w:tc>
        <w:tc>
          <w:tcPr>
            <w:tcW w:type="dxa" w:w="2016"/>
            <w:shd w:fill="F8FAFC"/>
          </w:tcPr>
          <w:p>
            <w:pPr>
              <w:jc w:val="center"/>
            </w:pPr>
            <w:r>
              <w:rPr>
                <w:rFonts w:ascii="Montserrat Light" w:hAnsi="Montserrat Light"/>
                <w:sz w:val="15"/>
              </w:rPr>
              <w:t>16 h</w:t>
            </w:r>
          </w:p>
        </w:tc>
        <w:tc>
          <w:tcPr>
            <w:tcW w:type="dxa" w:w="2016"/>
            <w:shd w:fill="F8FAFC"/>
          </w:tcPr>
          <w:p>
            <w:pPr>
              <w:jc w:val="left"/>
            </w:pPr>
            <w:r>
              <w:rPr>
                <w:rFonts w:ascii="Montserrat Light" w:hAnsi="Montserrat Light"/>
                <w:sz w:val="15"/>
              </w:rPr>
              <w:t>Diseño de la arquitectura TinySleepNet (1D-CNN + BiLSTM en PyTorch), experimentos de funciones de costo ponderadas y análisis de convergencia.</w:t>
            </w:r>
          </w:p>
        </w:tc>
        <w:tc>
          <w:tcPr>
            <w:tcW w:type="dxa" w:w="2016"/>
            <w:shd w:fill="F8FAFC"/>
          </w:tcPr>
          <w:p>
            <w:pPr>
              <w:jc w:val="left"/>
            </w:pPr>
            <w:r>
              <w:rPr>
                <w:rFonts w:ascii="Montserrat Light" w:hAnsi="Montserrat Light"/>
                <w:sz w:val="15"/>
              </w:rPr>
              <w:t>Rama daniel_franco: commits de experimentación de redes profundas.</w:t>
            </w:r>
          </w:p>
        </w:tc>
      </w:tr>
      <w:tr>
        <w:tc>
          <w:tcPr>
            <w:tcW w:type="dxa" w:w="2016"/>
            <w:shd w:fill="FFFFFF"/>
          </w:tcPr>
          <w:p>
            <w:pPr>
              <w:jc w:val="left"/>
            </w:pPr>
            <w:r>
              <w:rPr>
                <w:rFonts w:ascii="Montserrat Light" w:hAnsi="Montserrat Light"/>
                <w:b/>
                <w:sz w:val="15"/>
              </w:rPr>
              <w:t>Catalina García</w:t>
            </w:r>
          </w:p>
        </w:tc>
        <w:tc>
          <w:tcPr>
            <w:tcW w:type="dxa" w:w="2016"/>
            <w:shd w:fill="FFFFFF"/>
          </w:tcPr>
          <w:p>
            <w:pPr>
              <w:jc w:val="center"/>
            </w:pPr>
            <w:r>
              <w:rPr>
                <w:rFonts w:ascii="Montserrat Light" w:hAnsi="Montserrat Light"/>
                <w:sz w:val="15"/>
              </w:rPr>
              <w:t>Data Management &amp; DVC</w:t>
            </w:r>
          </w:p>
        </w:tc>
        <w:tc>
          <w:tcPr>
            <w:tcW w:type="dxa" w:w="2016"/>
            <w:shd w:fill="FFFFFF"/>
          </w:tcPr>
          <w:p>
            <w:pPr>
              <w:jc w:val="center"/>
            </w:pPr>
            <w:r>
              <w:rPr>
                <w:rFonts w:ascii="Montserrat Light" w:hAnsi="Montserrat Light"/>
                <w:sz w:val="15"/>
              </w:rPr>
              <w:t>14 h</w:t>
            </w:r>
          </w:p>
        </w:tc>
        <w:tc>
          <w:tcPr>
            <w:tcW w:type="dxa" w:w="2016"/>
            <w:shd w:fill="FFFFFF"/>
          </w:tcPr>
          <w:p>
            <w:pPr>
              <w:jc w:val="left"/>
            </w:pPr>
            <w:r>
              <w:rPr>
                <w:rFonts w:ascii="Montserrat Light" w:hAnsi="Montserrat Light"/>
                <w:sz w:val="15"/>
              </w:rPr>
              <w:t>Control de versionamiento de datos en DVC con almacenamiento S3, validación de integridad de registros PSG y metadatos de sujetos.</w:t>
            </w:r>
          </w:p>
        </w:tc>
        <w:tc>
          <w:tcPr>
            <w:tcW w:type="dxa" w:w="2016"/>
            <w:shd w:fill="FFFFFF"/>
          </w:tcPr>
          <w:p>
            <w:pPr>
              <w:jc w:val="left"/>
            </w:pPr>
            <w:r>
              <w:rPr>
                <w:rFonts w:ascii="Montserrat Light" w:hAnsi="Montserrat Light"/>
                <w:sz w:val="15"/>
              </w:rPr>
              <w:t>Rama reporte_catalina_garcia: commits en .dvc y data/.</w:t>
            </w:r>
          </w:p>
        </w:tc>
      </w:tr>
      <w:tr>
        <w:tc>
          <w:tcPr>
            <w:tcW w:type="dxa" w:w="2016"/>
            <w:shd w:fill="F8FAFC"/>
          </w:tcPr>
          <w:p>
            <w:pPr>
              <w:jc w:val="left"/>
            </w:pPr>
            <w:r>
              <w:rPr>
                <w:rFonts w:ascii="Montserrat Light" w:hAnsi="Montserrat Light"/>
                <w:b/>
                <w:sz w:val="15"/>
              </w:rPr>
              <w:t>Equipo MAIA</w:t>
            </w:r>
          </w:p>
        </w:tc>
        <w:tc>
          <w:tcPr>
            <w:tcW w:type="dxa" w:w="2016"/>
            <w:shd w:fill="F8FAFC"/>
          </w:tcPr>
          <w:p>
            <w:pPr>
              <w:jc w:val="center"/>
            </w:pPr>
            <w:r>
              <w:rPr>
                <w:rFonts w:ascii="Montserrat Light" w:hAnsi="Montserrat Light"/>
                <w:sz w:val="15"/>
              </w:rPr>
              <w:t>Integración &amp; Consolidación</w:t>
            </w:r>
          </w:p>
        </w:tc>
        <w:tc>
          <w:tcPr>
            <w:tcW w:type="dxa" w:w="2016"/>
            <w:shd w:fill="F8FAFC"/>
          </w:tcPr>
          <w:p>
            <w:pPr>
              <w:jc w:val="center"/>
            </w:pPr>
            <w:r>
              <w:rPr>
                <w:rFonts w:ascii="Montserrat Light" w:hAnsi="Montserrat Light"/>
                <w:sz w:val="15"/>
              </w:rPr>
              <w:t>12 h</w:t>
            </w:r>
          </w:p>
        </w:tc>
        <w:tc>
          <w:tcPr>
            <w:tcW w:type="dxa" w:w="2016"/>
            <w:shd w:fill="F8FAFC"/>
          </w:tcPr>
          <w:p>
            <w:pPr>
              <w:jc w:val="left"/>
            </w:pPr>
            <w:r>
              <w:rPr>
                <w:rFonts w:ascii="Montserrat Light" w:hAnsi="Montserrat Light"/>
                <w:sz w:val="15"/>
              </w:rPr>
              <w:t>Revisión cruzada de resultados, discusión de matrices de confusión clínicas, pruebas de inferencia y redacción del reporte maestro consolidado.</w:t>
            </w:r>
          </w:p>
        </w:tc>
        <w:tc>
          <w:tcPr>
            <w:tcW w:type="dxa" w:w="2016"/>
            <w:shd w:fill="F8FAFC"/>
          </w:tcPr>
          <w:p>
            <w:pPr>
              <w:jc w:val="left"/>
            </w:pPr>
            <w:r>
              <w:rPr>
                <w:rFonts w:ascii="Montserrat Light" w:hAnsi="Montserrat Light"/>
                <w:sz w:val="15"/>
              </w:rPr>
              <w:t>Pull Requests colaborativos y revisión cruzada en GitHub.</w:t>
            </w:r>
          </w:p>
        </w:tc>
      </w:tr>
    </w:tbl>
    <w:sectPr>
      <w:footerReference r:id="rId24" w:type="default"/>
      <w:pgSz w:h="15840" w:w="12240" w:orient="portrait"/>
      <w:pgMar w:bottom="1008" w:top="1008" w:left="1080" w:right="108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Courier New"/>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1a1a1e"/>
        <w:sz w:val="21"/>
        <w:szCs w:val="21"/>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-1269</wp:posOffset>
          </wp:positionH>
          <wp:positionV relativeFrom="paragraph">
            <wp:posOffset>10160</wp:posOffset>
          </wp:positionV>
          <wp:extent cx="866775" cy="352425"/>
          <wp:effectExtent b="0" l="0" r="0" t="0"/>
          <wp:wrapSquare wrapText="bothSides" distB="0" distT="0" distL="114300" distR="114300"/>
          <wp:docPr id="2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866775" cy="352425"/>
                  </a:xfrm>
                  <a:prstGeom prst="rect"/>
                  <a:ln/>
                </pic:spPr>
              </pic:pic>
            </a:graphicData>
          </a:graphic>
        </wp:anchor>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e"/>
        <w:sz w:val="21"/>
        <w:szCs w:val="21"/>
        <w:lang w:val="es-CO"/>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link w:val="SinespaciadoCar"/>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Fuerte">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SinespaciadoCar" w:customStyle="1">
    <w:name w:val="Sin espaciado Car"/>
    <w:basedOn w:val="Fuentedeprrafopredeter"/>
    <w:link w:val="Sinespaciado"/>
    <w:uiPriority w:val="1"/>
    <w:rsid w:val="00522206"/>
  </w:style>
  <w:style w:type="character" w:styleId="Hipervnculo">
    <w:name w:val="Hyperlink"/>
    <w:basedOn w:val="Fuentedeprrafopredeter"/>
    <w:uiPriority w:val="99"/>
    <w:unhideWhenUsed w:val="1"/>
    <w:rsid w:val="007A4827"/>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44.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11" Type="http://schemas.openxmlformats.org/officeDocument/2006/relationships/image" Target="media/image4.png"/><Relationship Id="rId22" Type="http://schemas.openxmlformats.org/officeDocument/2006/relationships/image" Target="media/image13.png"/><Relationship Id="rId10" Type="http://schemas.openxmlformats.org/officeDocument/2006/relationships/hyperlink" Target="https://github.com/Nicolasdgg/MicroP1MAIA" TargetMode="External"/><Relationship Id="rId21" Type="http://schemas.openxmlformats.org/officeDocument/2006/relationships/image" Target="media/image11.png"/><Relationship Id="rId13" Type="http://schemas.openxmlformats.org/officeDocument/2006/relationships/image" Target="media/image2.png"/><Relationship Id="rId24" Type="http://schemas.openxmlformats.org/officeDocument/2006/relationships/footer" Target="footer1.xml"/><Relationship Id="rId12" Type="http://schemas.openxmlformats.org/officeDocument/2006/relationships/image" Target="media/image6.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hysionet.org/content/sleep-edfx/1.0.0/#files-panel" TargetMode="External"/><Relationship Id="rId15" Type="http://schemas.openxmlformats.org/officeDocument/2006/relationships/image" Target="media/image12.png"/><Relationship Id="rId14" Type="http://schemas.openxmlformats.org/officeDocument/2006/relationships/image" Target="media/image1.png"/><Relationship Id="rId17" Type="http://schemas.openxmlformats.org/officeDocument/2006/relationships/image" Target="media/image7.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5.png"/><Relationship Id="rId25"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NGomezGa@caracoltv.com.co</dc:creator>
</cp:coreProperties>
</file>