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1A" w:rsidRPr="0050171A" w:rsidRDefault="0050171A">
      <w:pPr>
        <w:rPr>
          <w:b/>
        </w:rPr>
      </w:pPr>
      <w:r w:rsidRPr="0050171A">
        <w:rPr>
          <w:b/>
        </w:rPr>
        <w:t xml:space="preserve">1. Diferencia entre las obligaciones fiscales de un empresario individual que facture 2.000.000 € /año y una sociedad anónima que facture 800.000 € /año. </w:t>
      </w:r>
    </w:p>
    <w:p w:rsidR="0050171A" w:rsidRDefault="00D02877">
      <w:r>
        <w:tab/>
        <w:t>- El empresario individual está sometido al IVA, al IRPF y a los diferentes impuestos municipales que gravan su actividad.</w:t>
      </w:r>
    </w:p>
    <w:p w:rsidR="00D02877" w:rsidRDefault="00D02877">
      <w:r>
        <w:tab/>
        <w:t>- La sociedad anónima está sometido al IVA, al impuesto de sociedades y al resto de impuestos municipales y autonómicos (al IAE no porque factura menos de 1000000€ al año).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2. Señala las similitudes y diferencias que existen entre una tasa y una contribución especial. </w:t>
      </w:r>
    </w:p>
    <w:p w:rsidR="0050171A" w:rsidRDefault="00D02877">
      <w:r>
        <w:tab/>
        <w:t xml:space="preserve">- 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3. Desde el punto de vista de la justicia distributiva “quien más tiene, más debe aportar”, ¿qué impuestos deben predominar, directos o indirectos, en el sistema impositivo para que sea adecuado? Justifica la respuesta. </w:t>
      </w:r>
    </w:p>
    <w:p w:rsidR="0050171A" w:rsidRDefault="00D02877">
      <w:r>
        <w:tab/>
        <w:t>- Deberían predominar los indirectos, ya que van ligados al consumo que realiza el contribuyente y va más acorde con lo que necesita cada individuo de la sociedad.</w:t>
      </w:r>
    </w:p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4. Al finalizar el ejercicio, Distribuciones Culturales, SA ha tenido una cifra de negocio neta de 600.000 €. ¿Qué impuesto grava este hecho económico? </w:t>
      </w:r>
    </w:p>
    <w:p w:rsidR="0050171A" w:rsidRDefault="00D02877">
      <w:r>
        <w:tab/>
        <w:t xml:space="preserve">- </w:t>
      </w:r>
      <w:bookmarkStart w:id="0" w:name="_GoBack"/>
      <w:bookmarkEnd w:id="0"/>
    </w:p>
    <w:p w:rsidR="0050171A" w:rsidRDefault="0050171A"/>
    <w:p w:rsidR="006E3DEE" w:rsidRPr="0050171A" w:rsidRDefault="0050171A">
      <w:pPr>
        <w:rPr>
          <w:b/>
        </w:rPr>
      </w:pPr>
      <w:r w:rsidRPr="0050171A">
        <w:rPr>
          <w:b/>
        </w:rPr>
        <w:t>5. Indica la relación que existe entre estos cinco conceptos: base imponible, deducciones, base liquidable, tipo impositivo y cuota tributaria.</w:t>
      </w:r>
    </w:p>
    <w:p w:rsidR="0050171A" w:rsidRDefault="0050171A"/>
    <w:p w:rsidR="0050171A" w:rsidRDefault="0050171A"/>
    <w:p w:rsidR="0050171A" w:rsidRPr="0050171A" w:rsidRDefault="0050171A">
      <w:pPr>
        <w:rPr>
          <w:b/>
        </w:rPr>
      </w:pPr>
      <w:r w:rsidRPr="0050171A">
        <w:rPr>
          <w:b/>
        </w:rPr>
        <w:t xml:space="preserve">6. Roberto Rodríguez López pone en marcha una peluquería como trabajador autónomo. ¿Cuáles son sus obligaciones respecto al IAE? </w:t>
      </w:r>
    </w:p>
    <w:p w:rsidR="0050171A" w:rsidRDefault="0050171A"/>
    <w:p w:rsidR="0050171A" w:rsidRDefault="0050171A"/>
    <w:p w:rsidR="0050171A" w:rsidRDefault="0050171A">
      <w:pPr>
        <w:rPr>
          <w:b/>
        </w:rPr>
      </w:pPr>
      <w:r w:rsidRPr="0050171A">
        <w:rPr>
          <w:b/>
        </w:rPr>
        <w:t>7. Construcciones Montiel, SA tuvo en el pasado ejercicio una cifra de negocio neta de 750.000 €. Si al finalizar el actual tiene una cifra de negocio neta de 2.000.000 €, ¿cambia su situación en el IAE? Justifica la respuesta.</w:t>
      </w:r>
    </w:p>
    <w:p w:rsidR="0050171A" w:rsidRDefault="0050171A"/>
    <w:p w:rsidR="0050171A" w:rsidRPr="0050171A" w:rsidRDefault="0050171A"/>
    <w:sectPr w:rsidR="0050171A" w:rsidRPr="0050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1A"/>
    <w:rsid w:val="0050171A"/>
    <w:rsid w:val="0085568B"/>
    <w:rsid w:val="008E273F"/>
    <w:rsid w:val="00BE5714"/>
    <w:rsid w:val="00D0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5731"/>
  <w15:chartTrackingRefBased/>
  <w15:docId w15:val="{EA339318-D075-4D3B-9BD1-8CFFD25C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.</dc:creator>
  <cp:keywords/>
  <dc:description/>
  <cp:lastModifiedBy>Link .</cp:lastModifiedBy>
  <cp:revision>2</cp:revision>
  <dcterms:created xsi:type="dcterms:W3CDTF">2019-01-21T12:00:00Z</dcterms:created>
  <dcterms:modified xsi:type="dcterms:W3CDTF">2019-01-23T12:07:00Z</dcterms:modified>
</cp:coreProperties>
</file>