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MATRIZ DE COMPETÊNCIAS - IBAMA</w:t>
      </w:r>
    </w:p>
    <w:p>
      <w:pPr>
        <w:jc w:val="center"/>
      </w:pPr>
      <w:r>
        <w:rPr>
          <w:i/>
          <w:sz w:val="20"/>
        </w:rPr>
        <w:t>Matriz textual de competência administrativa para apoio ao SIC/MMA - versão curada inicial - 18/06/2026</w:t>
      </w:r>
    </w:p>
    <w:p/>
    <w:p>
      <w:r>
        <w:rPr>
          <w:b/>
          <w:sz w:val="20"/>
        </w:rPr>
        <w:t>Finalidade</w:t>
      </w:r>
    </w:p>
    <w:p>
      <w:pPr>
        <w:spacing w:after="120"/>
      </w:pPr>
      <w:r>
        <w:rPr>
          <w:sz w:val="18"/>
        </w:rPr>
        <w:t>Converter organogramas, decretos e fluxos administrativos em uma matriz textual de consulta rápida, para reduzir inferências genéricas ou alucinações de competência pelo assistente LAI/SIC/MMA.</w:t>
      </w:r>
    </w:p>
    <w:p>
      <w:r>
        <w:rPr>
          <w:b/>
          <w:sz w:val="20"/>
        </w:rPr>
        <w:t>Regra de uso</w:t>
      </w:r>
    </w:p>
    <w:p>
      <w:pPr>
        <w:spacing w:after="120"/>
      </w:pPr>
      <w:r>
        <w:rPr>
          <w:sz w:val="18"/>
        </w:rPr>
        <w:t>A matriz indica unidade provável e não substitui consulta à estrutura regimental vigente, ao regimento interno aplicável e à manifestação da área técnica. Em caso de conflito, prevalece a fonte normativa vigente e mais específica.</w:t>
      </w:r>
    </w:p>
    <w:p>
      <w:pPr>
        <w:pStyle w:val="Heading2"/>
      </w:pPr>
      <w:r>
        <w:t>Matriz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06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Tema / palavras-chave</w:t>
            </w:r>
          </w:p>
        </w:tc>
        <w:tc>
          <w:tcPr>
            <w:tcW w:type="dxa" w:w="300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Unidade ou órgão provável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Custódia provável / tipo de informação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Fonte oficial para validação</w:t>
            </w:r>
          </w:p>
        </w:tc>
        <w:tc>
          <w:tcPr>
            <w:tcW w:type="dxa" w:w="374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Observação para LAI/SIC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Licenciamento ambiental federal, EIA/RIMA, condicionantes, licenças, compensação ambiental federal, SisG-LAF/Sislic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Diretoria de Licenciamento Ambiental - Dilic e coordenações por tipologia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Processos, estudos, pareceres, licenças e sistemas de licenciamento ambiental federal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12.130/2024; Portaria Ibama 73/2025, arts. 86 a 110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Não atribuir ao MMA quando se tratar de processo concreto de licenciamento federal sob custódia do Ibama.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Avaliação de impacto ambiental em política geral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MMA - Departamento de Políticas de Avaliação de Impacto Ambiental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Políticas, diretrizes e normas gerais de AIA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art. 19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Distinguir política/norma geral (MMA) de processo de licenciamento concreto (Ibama/Dilic).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Qualidade ambiental, CTF/APP, CTF/AIDA, RAPP, Certificado de Regularidade, PROCONVE, PROMOT, Selo Ruído, emissões veiculares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Diretoria de Qualidade Ambiental - Diqua; Coordenação-Geral de Gestão da Qualidade Ambiental; Coordenação de Gestão e Integração de Instrumentos de Qualidade Ambiental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Cadastros técnicos federais, certificados, dados de qualidade ambiental e programas de controle de emissões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Portaria Ibama 73/2025, arts. 111 a 124; página Diqua/IBAMA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Pedidos sobre CTF geralmente têm maior aderência à Diqua, não ao MMA.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Substâncias químicas, agrotóxicos, produtos perigosos, resíduos perigosos, Convenções Basileia/Roterdã/Estocolmo/Minamata/Montreal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Diqua; Coordenação-Geral de Avaliação e Controle de Substâncias Químicas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Registros, avaliações, autorizações, controles e dados de substâncias/produtos no âmbito do Ibama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Portaria Ibama 73/2025, arts. 111 e 113; Decreto 12.130/2024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Pode haver competência compartilhada com MAPA e Anvisa em agrotóxicos, conforme o objeto.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Fiscalização ambiental federal, autos de infração, embargos, apreensões, operações, inteligência fiscalizatória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Diretoria de Proteção Ambiental - Dipro; Coordenação-Geral de Fiscalização Ambiental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Dados de fiscalização, autos, embargos, sistemas e operações de proteção ambiental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Portaria Ibama 73/2025, arts. 151 a 157; página Dipro/IBAMA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Verificar restrições: investigação, inteligência, dados pessoais, sigilo de operações e processos sancionadores.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Emergências ambientais, acidentes, óleo, produtos perigosos, Siema, TPP, operação ship-to-ship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Dipro; Centro Nacional de Emergências Ambientais e Climáticas - Ceneac; Nupaem nas superintendências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Comunicados, registros, análises e dados de emergências ambientais quando custodiados pelo Ibama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12.130/2024, art. 2º; página de emergências ambientais do Ibama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Atendimento pode ser federativo: União, estados, DF e municípios. Verificar ente que atuou e sistema utilizado.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Flora, madeira, DOF, Sinaflor, PMFS, controle de origem de produtos florestais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Diretoria de Uso Sustentável da Biodiversidade e Florestas; Coordenação-Geral de Gestão e Monitoramento do Uso da Flora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Sistemas e autorizações de uso sustentável da flora, DOF/Sinaflor e dados de controle florestal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Portaria Ibama 73/2025, arts. 125 a 130; página de serviços/sistemas do Ibama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Não confundir com SFB quando o pedido for SNIF, IFN, concessão ou florestas públicas federais.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Fauna silvestre, Sisfauna, SisPass, Cites, importação/exportação de espécies e produtos da biodiversidade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Diretoria de Uso Sustentável da Biodiversidade e Florestas; coordenações de biodiversidade/Cites/fauna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Licenças, autorizações, registros e sistemas federais de fauna/biodiversidade sob gestão do Ibama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Portaria Ibama 73/2025, arts. 125 a 128; página de serviços/sistemas do Ibama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 envolver espécie ameaçada em UC federal, pode haver interface com ICMBio.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Dados corporativos, interoperabilidade, dados abertos do Ibama, integração de bases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Coordenação de Governança de Dados do Ibama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Dados sob custódia do Ibama, política de compartilhamento, padrões internos e dados abertos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Portaria Ibama 73/2025, art. 84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Use esta unidade como apoio quando o pedido for sobre base corporativa ou extração transversal de dados do Ibama.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CAR/SICAR mencionado em pedido ao Ibama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Regra: não presumir Ibama como gestor federal do CAR/SICAR; verificar MGI/Diretoria do CAR e MMA/SFB conforme objeto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Dados nacionais do CAR/SICAR tendem ao MGI; fiscalização ambiental que usa CAR pode permanecer no Ibama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12.904/2026, art. 17; Decreto 12.254/2024, arts. 43, 49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Só encaminhar ao Ibama se o pedido envolver ato/processo/auto/sistema efetivamente custodiado pelo Ibama.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Processos administrativos sancionadores, multas, autuações, conciliação ambiental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Dipro / áreas de processo sancionador e superintendências, conforme o caso concreto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Autos, decisões, recursos e dados de processos sancionadores ambientais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12.130/2024; Portaria Ibama 73/2025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Avaliar sigilo, dados pessoais, andamento processual e competência de superintendência estadual.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Informação regional do Ibama, fiscalização local, processos de superintendência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Superintendência estadual do Ibama e divisões técnico-ambientais/proteção ambiental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Processos e documentos custodiados pela unidade descentralizada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Portaria Ibama 73/2025, estrutura descentralizada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Quando o objeto for localizado por UF/município, consultar a superintendência competente.</w:t>
            </w:r>
          </w:p>
        </w:tc>
      </w:tr>
    </w:tbl>
    <w:p/>
    <w:p>
      <w:pPr>
        <w:pStyle w:val="Heading2"/>
      </w:pPr>
      <w:r>
        <w:t>Fontes principais usadas nesta matriz</w:t>
      </w:r>
    </w:p>
    <w:p>
      <w:pPr>
        <w:ind w:left="227"/>
      </w:pPr>
      <w:r>
        <w:rPr>
          <w:sz w:val="17"/>
        </w:rPr>
        <w:t>• Decreto nº 12.130/2024 - Estrutura Regimental do Ibama.</w:t>
      </w:r>
    </w:p>
    <w:p>
      <w:pPr>
        <w:ind w:left="227"/>
      </w:pPr>
      <w:r>
        <w:rPr>
          <w:sz w:val="17"/>
        </w:rPr>
        <w:t>• Portaria Ibama nº 73/2025 - Regimento Interno do Ibama.</w:t>
      </w:r>
    </w:p>
    <w:p>
      <w:pPr>
        <w:ind w:left="227"/>
      </w:pPr>
      <w:r>
        <w:rPr>
          <w:sz w:val="17"/>
        </w:rPr>
        <w:t>• Páginas oficiais do Ibama: Diretoria de Qualidade Ambiental, Diretoria de Proteção Ambiental, Serviços e Emergências Ambientais.</w:t>
      </w:r>
    </w:p>
    <w:p>
      <w:pPr>
        <w:pStyle w:val="Heading2"/>
      </w:pPr>
      <w:r>
        <w:t>Comando sugerido para o prompt do GPT</w:t>
      </w:r>
    </w:p>
    <w:p>
      <w:pPr>
        <w:spacing w:after="120"/>
      </w:pPr>
      <w:r>
        <w:rPr>
          <w:b/>
        </w:rPr>
        <w:t xml:space="preserve">Antes de indicar unidade competente, o assistente deverá consultar esta matriz e a fonte oficial correspondente. </w:t>
      </w:r>
      <w:r>
        <w:t>Não presumir competência de gabinete, presidência, ministro ou direção superior quando houver unidade técnica mais aderente. Em caso de competência compartilhada, indicar as unidades envolvidas e justificar a necessidade de consulta conjunta ou encaminhamento parcial.</w:t>
      </w:r>
    </w:p>
    <w:sectPr w:rsidR="00FC693F" w:rsidRPr="0006063C" w:rsidSect="00034616">
      <w:pgSz w:w="16838" w:h="11906" w:orient="landscape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