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DE COMPETÊNCIAS - MMA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LAI, SIC, pedidos de acesso, ouvidoria, Fala.BR, manifestações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Ouvidoria do MMA / Serviço de Informação ao Cidadão, com apoio das unidades técnicas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Fluxo e coordenação de pedidos de acesso; custódia material depende da unidade detentora da informação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11; Portaria MMA 286/2021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coordenação do SIC com custódia da informação. Consultar a unidade finalística responsável pelo tema.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Gestão administrativa, orçamento, contratos, pessoal, TI interna, SEI administrativo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Secretaria-Executiva; Subsecretaria de Planejamento, Orçamento e Administração; Departamento de Planejamento e Gestão Estratégica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Processos administrativos internos, planejamento, orçamento, gestão, sistemas administrativos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13 a 15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o pedido for sobre processo SEI ou contrato específico, confirmar unidade gestora do processo.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CONAMA, SISNAMA, câmaras técnicas, atos e apoio a colegiados ambientais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Apoio ao Conama e ao Sisnama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Atos, pautas, deliberações, apoio administrativo e informações sobre colegiados quando custodiadas pelo MMA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17; Lei 6.938/1981, art. 8º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 o pedido for sobre execução estadual/municipal do SISNAMA, verificar competência federativa e eventual órgão ambiental local.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Avaliação ambiental estratégica, avaliação de impacto ambiental, políticas de AIA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Políticas de Avaliação de Impacto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Diretrizes e políticas de avaliação de impacto; não necessariamente processos de licenciamento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19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Licenciamento federal concreto tende a ser Ibama/Dilic. O MMA atua em política, diretriz e avaliação estratégica.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Biodiversidade, conservação, espécies ameaçadas, fauna, flora, microrganismos, patrimônio genético em sentido amplo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 Nacional de Biodiversidade, Florestas e Direitos Animais; Departamento de Conservação e Uso Sustentável da Biodiversidade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normas, programas e estratégias; listas e ações nacionais quando sob custódia do MMA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20 e 22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Execução em unidades de conservação federais tende a ser ICMBio; fauna/flora operacional e autorizações podem envolver Ibama.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Florestas, plantios florestais, sistemas agroflorestais, manejo sustentável, Programa Nacional de Florestas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Florestas; Serviço Florestal Brasileiro quando envolver concessão, SNIF, IFN ou florestas públicas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florestais e fomento; bases florestais específicas podem estar no SFB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21, 46 a 48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Distinguir floresta nativa/floresta pública/concessão florestal de florestas plantadas/agropecuária, que podem envolver MAPA.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Unidades de conservação, SNUC, espaços territoriais protegidos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Áreas Protegidas, quando se tratar de política e coordenação do SNUC; ICMBio, quando se tratar de gestão de UC federal específica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Normas, políticas e coordenação do SNUC no MMA; dados de gestão e execução de UC federal no ICMBio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23; Decreto 12.258/2024, arts. 2º, 11 a 13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Encaminhamento conjunto pode ser necessário quando o pedido mistura política nacional e execução em UC federal.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Proteção, defesa, bem-estar e direitos animais; manejo ético de cães e gatos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Proteção, Defesa e Direitos Animais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programas, projetos e diretrizes sobre proteção e direitos animais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24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 envolver execução local, castração, microchipagem ou base operacional, verificar programa/sistema e unidade gestora específica.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Resíduos sólidos, PNRS, logística reversa, economia circular, SINIR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 Nacional de Meio Ambiente Urbano, Recursos Hídricos e Qualidade Ambiental; Departamento de Gestão de Resíduos Sólidos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monitoramento e consolidação nacional de resíduos, SINIR e logística reversa sob coordenação federal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25 e 26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houver relatórios setoriais ou sistemas, verificar se a base está no MMA, em entidade parceira ou em órgão estadual.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Qualidade ambiental, ar, água, solo, poluição, segurança química, produtos perigosos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Qualidade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critérios, padrões e programas federais de qualidade ambiental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25 e 27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Pedidos sobre CTF, autorizações, substâncias e fiscalização operacional geralmente têm maior aderência ao Ibama/Diqua.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Meio ambiente urbano, soluções baseadas na natureza, mananciais urbanos, mobilidade/habitação em interface ambiental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Meio Ambiente Urbano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diretrizes e iniciativas de sustentabilidade urbana em interface ambiental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28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competência compartilhada com Ministério das Cidades, municípios ou órgãos estaduais.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Recursos hídricos em interface ambiental, ecossistemas aquáticos, nexo água-meio ambiente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Recursos Hídricos e Meio Ambiente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estudos de integração entre gestão ambiental e gestão de águas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29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Outorga, hidrologia operacional e regulação de recursos hídricos podem envolver ANA ou órgãos gestores estaduais.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Mudança do clima, PNMC, NDC, mitigação, adaptação, governança climática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 Nacional de Mudança do Clima; Departamentos de Governança Climática, Mitigação, Adaptação e Resiliência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planos, instrumentos climáticos, coordenação e diretrizes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30 a 33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Pedidos sobre inventários, dados setoriais ou financiamento climático podem exigir consulta a outros órgãos setoriais.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Mercado de carbono, REDD+, instrumentos de mercado climático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Instrumentos de Mercado e REDD+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instrumentos de mercado, REDD+ e temas correlatos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32-A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Verificar alterações posteriores do Decreto 12.678/2025 quando aplicável.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Oceano, zona costeira, gestão costeira, políticas marinhas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Oceano e Gestão Costeira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planos e diretrizes sobre oceano e gestão costeira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34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envolver Marinha, Ministério da Pesca, estados e municípios costeiros, conforme o objeto.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Bioeconomia, sociobiodiversidade, cadeias da sociobioeconomia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 Nacional de Bioeconomia; Departamento de Políticas de Estímulo à Bioeconomia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programas e instrumentos de estímulo à bioeconomia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35 e 36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Pedidos sobre povos/comunidades tradicionais podem envolver também SNPCT e outros ministérios.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Gestão compartilhada de recursos pesqueiros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Gestão Compartilhada de Recursos Pesqueiros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articulação sobre gestão compartilhada de recursos pesqueiros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37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Atividade pesqueira produtiva, registro e fomento podem envolver Ministério da Pesca ou MAPA, conforme a matéria.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Patrimônio genético, conhecimento tradicional associado, repartição de benefícios, CGen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Patrimônio Genético; Conselho de Gestão do Patrimônio Genético - CGen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normativos, sistema e deliberações de patrimônio genético/CTA quando sob custódia do MMA/CGen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38 e 52; Lei 13.123/2015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Quando envolver caso concreto de acesso ou cadastro em sistema, verificar unidade gestora e eventual sigilo/dados protegidos.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Povos e comunidades tradicionais, gestão socioambiental, desenvolvimento rural sustentável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 Nacional de Povos e Comunidades Tradicionais e Desenvolvimento Rural Sustentável; Departamento de Gestão Socioambiental e PCT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e programas socioambientais voltados a PCTs e desenvolvimento rural sustentável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39 e 40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envolver MDS, Funai, Incra, Igualdade Racial ou outros órgãos, conforme o grupo e o território.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Gestão ambiental rural, PRA, regularização ambiental rural, recuperação florestal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Políticas de Gestão Ambiental Rural; Serviço Florestal Brasileiro / Diretoria de Regularização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 de gestão ambiental rural; implementação e regularização ambiental rural no âmbito do SFB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41 e 49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Para dados nacionais do CAR/SICAR, aplicar diretriz específica MGI/CAR-SICAR.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Desertificação, seca, mitigação dos efeitos da seca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Departamento de Combate à Desertificação e Mitigação dos Efeitos da Seca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programas e estratégias sobre desertificação e seca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42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haver interface com Integração/Desenvolvimento Regional, Defesa Civil e órgãos estaduais.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Desmatamento, queimadas, incêndios florestais, PPCDAm/PPCerrado, ZEE, ordenamento territorial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Secretaria Extraordinária de Controle do Desmatamento e Ordenamento Ambiental Territorial; Departamentos de Controle do Desmatamento e Ordenamento Ambiental Territorial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Políticas, normas, estratégias, monitoramento e avaliação de planos de controle do desmatamento; ZEE e ordenamento ambiental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43 a 45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Fiscalização de infrações concretas tende a ser Ibama; UC federal tende a ser ICMBio; dados do CAR/SICAR tendem a ser MGI.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Concessões florestais, SNIF, Inventário Florestal Nacional, Cadastro Nacional de Florestas Públicas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Serviço Florestal Brasileiro; Diretoria de Concessão Florestal e Monitoramento; Diretoria de Fomento Florestal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e atos sobre concessões florestais, SNIF, IFN, florestas públicas e fomento florestal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46 a 48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confundir com autorização/controle de produtos florestais, que pode ser Ibama/Sinaflor/DOF.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12.254/2024 - Estrutura Regimental do MMA, com alterações posteriores, especialmente Decreto nº 12.678/2025 quando aplicável.</w:t>
      </w:r>
    </w:p>
    <w:p>
      <w:pPr>
        <w:ind w:left="227"/>
      </w:pPr>
      <w:r>
        <w:rPr>
          <w:sz w:val="17"/>
        </w:rPr>
        <w:t>• Portaria MMA nº 286/2021 - procedimentos do SIC/MMA.</w:t>
      </w:r>
    </w:p>
    <w:p>
      <w:pPr>
        <w:ind w:left="227"/>
      </w:pPr>
      <w:r>
        <w:rPr>
          <w:sz w:val="17"/>
        </w:rPr>
        <w:t>• Lei nº 6.938/1981; Lei Complementar nº 140/2011; Resolução CONAMA nº 237/1997; Decreto nº 8.437/2015, quando o tema envolver competência ambiental e licenciamento.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