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162CB" w14:textId="77777777" w:rsidR="00A51F64" w:rsidRPr="00A51F64" w:rsidRDefault="00A51F64" w:rsidP="00A51F64">
      <w:pPr>
        <w:spacing w:after="60"/>
        <w:jc w:val="center"/>
        <w:rPr>
          <w:rFonts w:ascii="Aptos" w:hAnsi="Aptos"/>
        </w:rPr>
      </w:pPr>
      <w:r w:rsidRPr="00A51F64">
        <w:rPr>
          <w:rFonts w:ascii="Aptos" w:hAnsi="Aptos"/>
          <w:b/>
          <w:bCs/>
          <w:color w:val="1F4E79"/>
          <w:sz w:val="24"/>
          <w:szCs w:val="24"/>
        </w:rPr>
        <w:t>UNIVERSIDAD TÉCNICA PARTICULAR DE LOJA</w:t>
      </w:r>
    </w:p>
    <w:p w14:paraId="2977E0EF" w14:textId="11375C13" w:rsidR="00A51F64" w:rsidRPr="00A51F64" w:rsidRDefault="00A51F64" w:rsidP="00A51F64">
      <w:pPr>
        <w:spacing w:after="60"/>
        <w:jc w:val="center"/>
        <w:rPr>
          <w:rFonts w:ascii="Aptos" w:hAnsi="Aptos"/>
        </w:rPr>
      </w:pPr>
      <w:r w:rsidRPr="00A51F64">
        <w:rPr>
          <w:rFonts w:ascii="Aptos" w:hAnsi="Aptos"/>
          <w:color w:val="404040"/>
        </w:rPr>
        <w:t>Ingeniería de Requisitos – Proyecto Primer Bimestre</w:t>
      </w:r>
    </w:p>
    <w:p w14:paraId="76FD0CD5" w14:textId="77777777" w:rsidR="00A51F64" w:rsidRPr="00A51F64" w:rsidRDefault="00A51F64" w:rsidP="00A51F64">
      <w:pPr>
        <w:spacing w:before="60" w:after="60"/>
        <w:jc w:val="center"/>
        <w:rPr>
          <w:rFonts w:ascii="Aptos" w:hAnsi="Aptos"/>
        </w:rPr>
      </w:pPr>
      <w:r w:rsidRPr="00A51F64">
        <w:rPr>
          <w:rFonts w:ascii="Aptos" w:hAnsi="Aptos"/>
          <w:b/>
          <w:bCs/>
          <w:color w:val="1F4E79"/>
          <w:sz w:val="28"/>
          <w:szCs w:val="28"/>
        </w:rPr>
        <w:t>INFORME POR ROL (VIEWPOINT)</w:t>
      </w:r>
    </w:p>
    <w:p w14:paraId="64E249AD" w14:textId="77777777" w:rsidR="00A51F64" w:rsidRPr="00A51F64" w:rsidRDefault="00A51F64" w:rsidP="00A51F64">
      <w:pPr>
        <w:spacing w:after="60"/>
        <w:jc w:val="center"/>
        <w:rPr>
          <w:rFonts w:ascii="Aptos" w:hAnsi="Aptos"/>
        </w:rPr>
      </w:pPr>
      <w:r w:rsidRPr="00A51F64">
        <w:rPr>
          <w:rFonts w:ascii="Aptos" w:hAnsi="Aptos"/>
          <w:i/>
          <w:iCs/>
          <w:color w:val="404040"/>
        </w:rPr>
        <w:t>Caso de Estudio: Transformación del SAMR mediante IA e Interfaces Conversacionales</w:t>
      </w:r>
    </w:p>
    <w:p w14:paraId="34FEAF52" w14:textId="77777777" w:rsidR="00A51F64" w:rsidRPr="00A51F64" w:rsidRDefault="00A51F64" w:rsidP="00A51F64">
      <w:pPr>
        <w:pBdr>
          <w:bottom w:val="single" w:sz="4" w:space="1" w:color="2E75B6"/>
        </w:pBdr>
        <w:spacing w:before="120" w:after="120"/>
        <w:rPr>
          <w:rFonts w:ascii="Aptos" w:hAnsi="Aptos"/>
        </w:rPr>
      </w:pPr>
    </w:p>
    <w:p w14:paraId="2998AF49" w14:textId="77777777" w:rsidR="00A51F64" w:rsidRPr="00A51F64" w:rsidRDefault="00A51F64" w:rsidP="00A51F64">
      <w:pPr>
        <w:rPr>
          <w:rFonts w:ascii="Aptos" w:hAnsi="Aptos"/>
        </w:rPr>
      </w:pPr>
    </w:p>
    <w:p w14:paraId="171AB4FB" w14:textId="1A1E76DA" w:rsidR="000226E3" w:rsidRPr="00A51F64" w:rsidRDefault="00A51F64" w:rsidP="00A51F64">
      <w:pPr>
        <w:rPr>
          <w:rFonts w:ascii="Aptos" w:hAnsi="Aptos"/>
          <w:b/>
          <w:bCs/>
          <w:color w:val="1F4E79"/>
          <w:sz w:val="32"/>
          <w:szCs w:val="32"/>
        </w:rPr>
      </w:pPr>
      <w:r w:rsidRPr="00A51F64">
        <w:rPr>
          <w:rFonts w:ascii="Aptos" w:hAnsi="Aptos"/>
          <w:b/>
          <w:bCs/>
          <w:color w:val="1F4E79"/>
          <w:sz w:val="32"/>
          <w:szCs w:val="32"/>
        </w:rPr>
        <w:t>1. Información General del Informe</w:t>
      </w:r>
    </w:p>
    <w:p w14:paraId="3F1D09FA" w14:textId="77777777" w:rsidR="00A51F64" w:rsidRPr="00A51F64" w:rsidRDefault="00A51F64" w:rsidP="00A51F64">
      <w:pPr>
        <w:rPr>
          <w:rFonts w:ascii="Aptos" w:hAnsi="Apto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A51F64" w:rsidRPr="00A51F64" w14:paraId="44827879" w14:textId="77777777" w:rsidTr="007B0C13">
        <w:tc>
          <w:tcPr>
            <w:tcW w:w="280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40" w:type="dxa"/>
              <w:bottom w:w="100" w:type="dxa"/>
              <w:right w:w="140" w:type="dxa"/>
            </w:tcMar>
            <w:vAlign w:val="center"/>
          </w:tcPr>
          <w:p w14:paraId="09A7AF00" w14:textId="77777777" w:rsidR="00A51F64" w:rsidRPr="00A51F64" w:rsidRDefault="00A51F64" w:rsidP="007B0C13">
            <w:pPr>
              <w:rPr>
                <w:rFonts w:ascii="Aptos" w:hAnsi="Aptos"/>
              </w:rPr>
            </w:pPr>
            <w:r w:rsidRPr="00A51F64">
              <w:rPr>
                <w:rFonts w:ascii="Aptos" w:hAnsi="Aptos"/>
                <w:b/>
                <w:bCs/>
                <w:color w:val="000000"/>
              </w:rPr>
              <w:t>Nombre del Equipo</w:t>
            </w:r>
          </w:p>
        </w:tc>
        <w:tc>
          <w:tcPr>
            <w:tcW w:w="6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0F14F79" w14:textId="22D5D834" w:rsidR="00A51F64" w:rsidRPr="00A51F64" w:rsidRDefault="00A51F64" w:rsidP="007B0C13">
            <w:pPr>
              <w:rPr>
                <w:rFonts w:ascii="Aptos" w:hAnsi="Aptos"/>
              </w:rPr>
            </w:pPr>
            <w:r w:rsidRPr="00A51F64">
              <w:rPr>
                <w:rFonts w:ascii="Aptos" w:hAnsi="Aptos"/>
                <w:color w:val="000000"/>
              </w:rPr>
              <w:t xml:space="preserve">Kodev </w:t>
            </w:r>
          </w:p>
        </w:tc>
      </w:tr>
      <w:tr w:rsidR="00A51F64" w:rsidRPr="00A51F64" w14:paraId="1206AECC" w14:textId="77777777" w:rsidTr="007B0C13">
        <w:tc>
          <w:tcPr>
            <w:tcW w:w="280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40" w:type="dxa"/>
              <w:bottom w:w="100" w:type="dxa"/>
              <w:right w:w="140" w:type="dxa"/>
            </w:tcMar>
            <w:vAlign w:val="center"/>
          </w:tcPr>
          <w:p w14:paraId="5C54978B" w14:textId="77777777" w:rsidR="00A51F64" w:rsidRPr="00A51F64" w:rsidRDefault="00A51F64" w:rsidP="007B0C13">
            <w:pPr>
              <w:rPr>
                <w:rFonts w:ascii="Aptos" w:hAnsi="Aptos"/>
              </w:rPr>
            </w:pPr>
            <w:r w:rsidRPr="00A51F64">
              <w:rPr>
                <w:rFonts w:ascii="Aptos" w:hAnsi="Aptos"/>
                <w:b/>
                <w:bCs/>
                <w:color w:val="000000"/>
              </w:rPr>
              <w:t>Rol Asignado</w:t>
            </w:r>
          </w:p>
        </w:tc>
        <w:tc>
          <w:tcPr>
            <w:tcW w:w="6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4468FC8" w14:textId="77777777" w:rsidR="00A51F64" w:rsidRPr="00A51F64" w:rsidRDefault="00A51F64" w:rsidP="007B0C13">
            <w:pPr>
              <w:rPr>
                <w:rFonts w:ascii="Aptos" w:hAnsi="Aptos"/>
              </w:rPr>
            </w:pPr>
            <w:r w:rsidRPr="00A51F64">
              <w:rPr>
                <w:rFonts w:ascii="Aptos" w:hAnsi="Aptos"/>
                <w:color w:val="000000"/>
              </w:rPr>
              <w:t>Ingeniero de Seguridad (Security Engineer)</w:t>
            </w:r>
          </w:p>
        </w:tc>
      </w:tr>
      <w:tr w:rsidR="00A51F64" w:rsidRPr="00A51F64" w14:paraId="4EF461A4" w14:textId="77777777" w:rsidTr="007B0C13">
        <w:tc>
          <w:tcPr>
            <w:tcW w:w="280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40" w:type="dxa"/>
              <w:bottom w:w="100" w:type="dxa"/>
              <w:right w:w="140" w:type="dxa"/>
            </w:tcMar>
            <w:vAlign w:val="center"/>
          </w:tcPr>
          <w:p w14:paraId="256C71FF" w14:textId="77777777" w:rsidR="00A51F64" w:rsidRPr="00A51F64" w:rsidRDefault="00A51F64" w:rsidP="007B0C13">
            <w:pPr>
              <w:rPr>
                <w:rFonts w:ascii="Aptos" w:hAnsi="Aptos"/>
              </w:rPr>
            </w:pPr>
            <w:r w:rsidRPr="00A51F64">
              <w:rPr>
                <w:rFonts w:ascii="Aptos" w:hAnsi="Aptos"/>
                <w:b/>
                <w:bCs/>
                <w:color w:val="000000"/>
              </w:rPr>
              <w:t>Nombre del Estudiante</w:t>
            </w:r>
          </w:p>
        </w:tc>
        <w:tc>
          <w:tcPr>
            <w:tcW w:w="6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C5E0BB8" w14:textId="719D8791" w:rsidR="00A51F64" w:rsidRPr="00A51F64" w:rsidRDefault="00A51F64" w:rsidP="007B0C13">
            <w:pPr>
              <w:rPr>
                <w:rFonts w:ascii="Aptos" w:hAnsi="Aptos"/>
              </w:rPr>
            </w:pPr>
            <w:r w:rsidRPr="00A51F64">
              <w:rPr>
                <w:rFonts w:ascii="Aptos" w:hAnsi="Aptos"/>
                <w:color w:val="000000"/>
              </w:rPr>
              <w:t>Diego Nicolay Jiménez Carrión</w:t>
            </w:r>
          </w:p>
        </w:tc>
      </w:tr>
      <w:tr w:rsidR="00A51F64" w:rsidRPr="00A51F64" w14:paraId="105F12DA" w14:textId="77777777" w:rsidTr="007B0C13">
        <w:tc>
          <w:tcPr>
            <w:tcW w:w="280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40" w:type="dxa"/>
              <w:bottom w:w="100" w:type="dxa"/>
              <w:right w:w="140" w:type="dxa"/>
            </w:tcMar>
            <w:vAlign w:val="center"/>
          </w:tcPr>
          <w:p w14:paraId="1052BB94" w14:textId="77777777" w:rsidR="00A51F64" w:rsidRPr="00A51F64" w:rsidRDefault="00A51F64" w:rsidP="007B0C13">
            <w:pPr>
              <w:rPr>
                <w:rFonts w:ascii="Aptos" w:hAnsi="Aptos"/>
              </w:rPr>
            </w:pPr>
            <w:r w:rsidRPr="00A51F64">
              <w:rPr>
                <w:rFonts w:ascii="Aptos" w:hAnsi="Aptos"/>
                <w:b/>
                <w:bCs/>
                <w:color w:val="000000"/>
              </w:rPr>
              <w:t>Fecha de Elaboración</w:t>
            </w:r>
          </w:p>
        </w:tc>
        <w:tc>
          <w:tcPr>
            <w:tcW w:w="6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0F2DEED" w14:textId="77777777" w:rsidR="00A51F64" w:rsidRPr="00A51F64" w:rsidRDefault="00A51F64" w:rsidP="007B0C13">
            <w:pPr>
              <w:rPr>
                <w:rFonts w:ascii="Aptos" w:hAnsi="Aptos"/>
              </w:rPr>
            </w:pPr>
            <w:r w:rsidRPr="00A51F64">
              <w:rPr>
                <w:rFonts w:ascii="Aptos" w:hAnsi="Aptos"/>
                <w:color w:val="000000"/>
              </w:rPr>
              <w:t>27 de mayo de 2026</w:t>
            </w:r>
          </w:p>
        </w:tc>
      </w:tr>
      <w:tr w:rsidR="00A51F64" w:rsidRPr="00A51F64" w14:paraId="723E27A3" w14:textId="77777777" w:rsidTr="007B0C13">
        <w:tc>
          <w:tcPr>
            <w:tcW w:w="2800" w:type="dxa"/>
            <w:tcBorders>
              <w:top w:val="single" w:sz="1" w:space="0" w:color="1F4E79"/>
              <w:left w:val="single" w:sz="1" w:space="0" w:color="1F4E79"/>
              <w:bottom w:val="single" w:sz="1" w:space="0" w:color="1F4E79"/>
              <w:right w:val="single" w:sz="1" w:space="0" w:color="1F4E79"/>
            </w:tcBorders>
            <w:shd w:val="clear" w:color="auto" w:fill="D6E4F0"/>
            <w:tcMar>
              <w:top w:w="100" w:type="dxa"/>
              <w:left w:w="140" w:type="dxa"/>
              <w:bottom w:w="100" w:type="dxa"/>
              <w:right w:w="140" w:type="dxa"/>
            </w:tcMar>
            <w:vAlign w:val="center"/>
          </w:tcPr>
          <w:p w14:paraId="2A62E620" w14:textId="77777777" w:rsidR="00A51F64" w:rsidRPr="00A51F64" w:rsidRDefault="00A51F64" w:rsidP="007B0C13">
            <w:pPr>
              <w:rPr>
                <w:rFonts w:ascii="Aptos" w:hAnsi="Aptos"/>
              </w:rPr>
            </w:pPr>
            <w:r w:rsidRPr="00A51F64">
              <w:rPr>
                <w:rFonts w:ascii="Aptos" w:hAnsi="Aptos"/>
                <w:b/>
                <w:bCs/>
                <w:color w:val="000000"/>
              </w:rPr>
              <w:t>Versión del Documento</w:t>
            </w:r>
          </w:p>
        </w:tc>
        <w:tc>
          <w:tcPr>
            <w:tcW w:w="62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F23248E" w14:textId="4366CD12" w:rsidR="00A51F64" w:rsidRPr="00A51F64" w:rsidRDefault="00A51F64" w:rsidP="007B0C13">
            <w:pPr>
              <w:rPr>
                <w:rFonts w:ascii="Aptos" w:hAnsi="Aptos"/>
              </w:rPr>
            </w:pPr>
            <w:r w:rsidRPr="00A51F64">
              <w:rPr>
                <w:rFonts w:ascii="Aptos" w:hAnsi="Aptos"/>
                <w:color w:val="000000"/>
              </w:rPr>
              <w:t xml:space="preserve">1.0 </w:t>
            </w:r>
          </w:p>
        </w:tc>
      </w:tr>
    </w:tbl>
    <w:p w14:paraId="45167604" w14:textId="77777777" w:rsidR="00A51F64" w:rsidRPr="00A51F64" w:rsidRDefault="00A51F64" w:rsidP="00A51F64">
      <w:pPr>
        <w:rPr>
          <w:rFonts w:ascii="Aptos" w:hAnsi="Aptos"/>
        </w:rPr>
      </w:pPr>
    </w:p>
    <w:p w14:paraId="4FE89910" w14:textId="77777777" w:rsidR="00A51F64" w:rsidRDefault="00A51F64" w:rsidP="00A51F64">
      <w:pPr>
        <w:pBdr>
          <w:bottom w:val="single" w:sz="4" w:space="1" w:color="2E75B6"/>
        </w:pBdr>
        <w:spacing w:before="120" w:after="120"/>
      </w:pPr>
    </w:p>
    <w:p w14:paraId="4BEA6785" w14:textId="77777777" w:rsidR="007D0659" w:rsidRDefault="007D0659" w:rsidP="007D0659">
      <w:pPr>
        <w:pStyle w:val="Ttulo1"/>
      </w:pPr>
      <w:r>
        <w:rPr>
          <w:rFonts w:ascii="Arial" w:eastAsia="Arial" w:hAnsi="Arial" w:cs="Arial"/>
          <w:b/>
          <w:bCs/>
          <w:color w:val="1F4E79"/>
          <w:sz w:val="32"/>
          <w:szCs w:val="32"/>
        </w:rPr>
        <w:t xml:space="preserve">2. Resumen Ejecutivo del </w:t>
      </w:r>
      <w:proofErr w:type="spellStart"/>
      <w:r>
        <w:rPr>
          <w:rFonts w:ascii="Arial" w:eastAsia="Arial" w:hAnsi="Arial" w:cs="Arial"/>
          <w:b/>
          <w:bCs/>
          <w:color w:val="1F4E79"/>
          <w:sz w:val="32"/>
          <w:szCs w:val="32"/>
        </w:rPr>
        <w:t>Visionamiento</w:t>
      </w:r>
      <w:proofErr w:type="spellEnd"/>
      <w:r>
        <w:rPr>
          <w:rFonts w:ascii="Arial" w:eastAsia="Arial" w:hAnsi="Arial" w:cs="Arial"/>
          <w:b/>
          <w:bCs/>
          <w:color w:val="1F4E79"/>
          <w:sz w:val="32"/>
          <w:szCs w:val="32"/>
        </w:rPr>
        <w:t xml:space="preserve"> del Sistema</w:t>
      </w:r>
    </w:p>
    <w:p w14:paraId="7A924476" w14:textId="77777777" w:rsidR="007D0659" w:rsidRDefault="007D0659" w:rsidP="007D0659">
      <w:pPr>
        <w:spacing w:before="60" w:after="60"/>
      </w:pPr>
      <w:r>
        <w:rPr>
          <w:color w:val="000000"/>
        </w:rPr>
        <w:t xml:space="preserve">El Sistema de Atención Médica Remota (SAMR) transformado por Inteligencia Artificial e interfaces conversacionales representa un salto cualitativo en la prestación de servicios de salud domiciliaria en Ecuador. Desde la perspectiva del Ingeniero de Seguridad, este sistema no es simplemente una plataforma de software médico: es un ecosistema que procesa datos de salud altamente sensibles, involucra decisiones clínicas automatizadas y opera 24/7 en un entorno regulado por la LOPDP y supervisado por el MSP y el SPDP. La incorporación de </w:t>
      </w:r>
      <w:proofErr w:type="spellStart"/>
      <w:r>
        <w:rPr>
          <w:color w:val="000000"/>
        </w:rPr>
        <w:t>bots</w:t>
      </w:r>
      <w:proofErr w:type="spellEnd"/>
      <w:r>
        <w:rPr>
          <w:color w:val="000000"/>
        </w:rPr>
        <w:t xml:space="preserve"> conversacionales, modelos de machine learning y comunicaciones multimodales amplía exponencialmente la superficie de ataque y las obligaciones de cumplimiento normativo.</w:t>
      </w:r>
    </w:p>
    <w:p w14:paraId="58595954" w14:textId="77777777" w:rsidR="007D0659" w:rsidRDefault="007D0659" w:rsidP="007D0659"/>
    <w:p w14:paraId="76C4CC18" w14:textId="77777777" w:rsidR="007D0659" w:rsidRDefault="007D0659" w:rsidP="007D0659">
      <w:pPr>
        <w:spacing w:before="60" w:after="60"/>
      </w:pPr>
      <w:r>
        <w:rPr>
          <w:color w:val="000000"/>
        </w:rPr>
        <w:t xml:space="preserve">Los flujos críticos que impactan directamente mi área incluyen: (1) la interacción </w:t>
      </w:r>
      <w:proofErr w:type="spellStart"/>
      <w:r>
        <w:rPr>
          <w:color w:val="000000"/>
        </w:rPr>
        <w:t>bot</w:t>
      </w:r>
      <w:proofErr w:type="spellEnd"/>
      <w:r>
        <w:rPr>
          <w:color w:val="000000"/>
        </w:rPr>
        <w:t xml:space="preserve">-paciente donde se transmiten síntomas clínicos en tiempo real sin que el paciente siempre comprenda el alcance del tratamiento de sus datos; (2) el </w:t>
      </w:r>
      <w:proofErr w:type="spellStart"/>
      <w:r>
        <w:rPr>
          <w:color w:val="000000"/>
        </w:rPr>
        <w:t>triage</w:t>
      </w:r>
      <w:proofErr w:type="spellEnd"/>
      <w:r>
        <w:rPr>
          <w:color w:val="000000"/>
        </w:rPr>
        <w:t xml:space="preserve"> automatizado con IA cuyas decisiones deben ser auditables, explicables e impugnables conforme a la LOPDP; (3) la interoperabilidad con MSP e IESS mediante HL7 FHIR R4 que exige autenticación mutua </w:t>
      </w:r>
      <w:proofErr w:type="spellStart"/>
      <w:r>
        <w:rPr>
          <w:color w:val="000000"/>
        </w:rPr>
        <w:t>mTLS</w:t>
      </w:r>
      <w:proofErr w:type="spellEnd"/>
      <w:r>
        <w:rPr>
          <w:color w:val="000000"/>
        </w:rPr>
        <w:t xml:space="preserve"> y cifrado extremo a extremo; y (4) el módulo de monitoreo predictivo que transmite señales biomédicas continuas de dispositivos wearable, representando un canal persistente de datos </w:t>
      </w:r>
      <w:proofErr w:type="spellStart"/>
      <w:r>
        <w:rPr>
          <w:color w:val="000000"/>
        </w:rPr>
        <w:t>ultra-sensibles</w:t>
      </w:r>
      <w:proofErr w:type="spellEnd"/>
      <w:r>
        <w:rPr>
          <w:color w:val="000000"/>
        </w:rPr>
        <w:t>.</w:t>
      </w:r>
    </w:p>
    <w:p w14:paraId="76D6BA17" w14:textId="77777777" w:rsidR="007D0659" w:rsidRDefault="007D0659" w:rsidP="007D0659"/>
    <w:p w14:paraId="26ADEA7C" w14:textId="77777777" w:rsidR="007D0659" w:rsidRDefault="007D0659" w:rsidP="007D0659">
      <w:pPr>
        <w:spacing w:before="60" w:after="60"/>
      </w:pPr>
      <w:r>
        <w:rPr>
          <w:color w:val="000000"/>
        </w:rPr>
        <w:t xml:space="preserve">El rol de Seguridad aporta al proyecto SAMR la definición del modelo de control de acceso RBAC, el diseño del log de auditoría inmutable con hashes SHA-256 encadenados, la implementación de los controles criptográficos (TLS 1.3 / AES-256), la evaluación de impacto sobre la privacidad (DPIA) requerida por la LOPDP, y la definición de los mecanismos de consentimiento informado para el uso de conversaciones de </w:t>
      </w:r>
      <w:proofErr w:type="spellStart"/>
      <w:r>
        <w:rPr>
          <w:color w:val="000000"/>
        </w:rPr>
        <w:t>bots</w:t>
      </w:r>
      <w:proofErr w:type="spellEnd"/>
      <w:r>
        <w:rPr>
          <w:color w:val="000000"/>
        </w:rPr>
        <w:t xml:space="preserve"> en el entrenamiento de modelos de IA. Sin una arquitectura de seguridad sólida, ninguno de los demás módulos puede cumplir con los estándares regulatorios necesarios para la aprobación del MSP.</w:t>
      </w:r>
    </w:p>
    <w:p w14:paraId="790960B3" w14:textId="77777777" w:rsidR="007D0659" w:rsidRDefault="007D0659" w:rsidP="007D0659"/>
    <w:p w14:paraId="77CFA211" w14:textId="77777777" w:rsidR="007D0659" w:rsidRDefault="007D0659" w:rsidP="007D0659">
      <w:pPr>
        <w:pBdr>
          <w:bottom w:val="single" w:sz="4" w:space="1" w:color="2E75B6"/>
        </w:pBdr>
        <w:spacing w:before="120" w:after="120"/>
      </w:pPr>
    </w:p>
    <w:p w14:paraId="73896DDE" w14:textId="77777777" w:rsidR="007D0659" w:rsidRDefault="007D0659" w:rsidP="007D0659">
      <w:pPr>
        <w:pStyle w:val="Ttulo1"/>
      </w:pPr>
      <w:r>
        <w:rPr>
          <w:rFonts w:ascii="Arial" w:eastAsia="Arial" w:hAnsi="Arial" w:cs="Arial"/>
          <w:b/>
          <w:bCs/>
          <w:color w:val="1F4E79"/>
          <w:sz w:val="32"/>
          <w:szCs w:val="32"/>
        </w:rPr>
        <w:lastRenderedPageBreak/>
        <w:t>3. Análisis de Impacto de Requisitos Clave</w:t>
      </w:r>
    </w:p>
    <w:p w14:paraId="7A48DC0D" w14:textId="77777777" w:rsidR="007D0659" w:rsidRDefault="007D0659" w:rsidP="007D0659">
      <w:pPr>
        <w:spacing w:before="60" w:after="60"/>
      </w:pPr>
      <w:r>
        <w:rPr>
          <w:color w:val="000000"/>
        </w:rPr>
        <w:t xml:space="preserve">A </w:t>
      </w:r>
      <w:proofErr w:type="gramStart"/>
      <w:r>
        <w:rPr>
          <w:color w:val="000000"/>
        </w:rPr>
        <w:t>continuación</w:t>
      </w:r>
      <w:proofErr w:type="gramEnd"/>
      <w:r>
        <w:rPr>
          <w:color w:val="000000"/>
        </w:rPr>
        <w:t xml:space="preserve"> se identifican los seis requisitos y escenarios de mayor relevancia para el rol de Seguridad, con análisis de impacto y nivel de influencia.</w:t>
      </w:r>
    </w:p>
    <w:p w14:paraId="582EC90B" w14:textId="77777777" w:rsidR="007D0659" w:rsidRDefault="007D0659" w:rsidP="007D065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826"/>
      </w:tblGrid>
      <w:tr w:rsidR="007D0659" w14:paraId="7A4051A4" w14:textId="77777777" w:rsidTr="007B0C13">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5E3A19C" w14:textId="77777777" w:rsidR="007D0659" w:rsidRDefault="007D0659" w:rsidP="007B0C13">
            <w:r>
              <w:rPr>
                <w:b/>
                <w:bCs/>
                <w:color w:val="FFFFFF"/>
              </w:rPr>
              <w:t>Requisito / Escenario</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8BBA5C0" w14:textId="77777777" w:rsidR="007D0659" w:rsidRDefault="007D0659" w:rsidP="007B0C13">
            <w:r>
              <w:rPr>
                <w:b/>
                <w:bCs/>
                <w:color w:val="FFFFFF"/>
              </w:rPr>
              <w:t>Impacto en el Rol de Seguridad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31D2ACEA" w14:textId="77777777" w:rsidR="007D0659" w:rsidRDefault="007D0659" w:rsidP="007B0C13">
            <w:r>
              <w:rPr>
                <w:b/>
                <w:bCs/>
                <w:color w:val="FFFFFF"/>
              </w:rPr>
              <w:t>Nivel de Influencia y Justificación</w:t>
            </w:r>
          </w:p>
        </w:tc>
      </w:tr>
      <w:tr w:rsidR="007D0659" w14:paraId="1261E97A"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88E91B" w14:textId="77777777" w:rsidR="007D0659" w:rsidRDefault="007D0659" w:rsidP="007B0C13">
            <w:r>
              <w:rPr>
                <w:color w:val="000000"/>
              </w:rPr>
              <w:t xml:space="preserve">RF-22 / RF-02: Consentimiento Informado LOPDP y uso de conversaciones de </w:t>
            </w:r>
            <w:proofErr w:type="spellStart"/>
            <w:r>
              <w:rPr>
                <w:color w:val="000000"/>
              </w:rPr>
              <w:t>bot</w:t>
            </w:r>
            <w:proofErr w:type="spellEnd"/>
            <w:r>
              <w:rPr>
                <w:color w:val="000000"/>
              </w:rPr>
              <w:t xml:space="preserve"> en entrenamiento de modelos</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F637344" w14:textId="77777777" w:rsidR="007D0659" w:rsidRDefault="007D0659" w:rsidP="007B0C13">
            <w:r>
              <w:rPr>
                <w:color w:val="000000"/>
              </w:rPr>
              <w:t xml:space="preserve">Requiere diseñar un flujo de consentimiento en ≤ 3 pasos con registro inmutable. Las transcripciones del </w:t>
            </w:r>
            <w:proofErr w:type="spellStart"/>
            <w:r>
              <w:rPr>
                <w:color w:val="000000"/>
              </w:rPr>
              <w:t>bot</w:t>
            </w:r>
            <w:proofErr w:type="spellEnd"/>
            <w:r>
              <w:rPr>
                <w:color w:val="000000"/>
              </w:rPr>
              <w:t xml:space="preserve"> son datos personales sensibles de salud que no pueden usarse para entrenamiento de modelos sin autorización expresa adicional del paciente (LOPDP art. 54). Debe implementarse revocación en tiempo real.</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5549FC53" w14:textId="77777777" w:rsidR="007D0659" w:rsidRDefault="007D0659" w:rsidP="007B0C13">
            <w:r>
              <w:rPr>
                <w:color w:val="000000"/>
              </w:rPr>
              <w:t>Alto – Es el fundamento legal de toda la operación del sistema. Sin consentimiento válido, el sistema no puede operar ni obtener aprobación del MSP.</w:t>
            </w:r>
          </w:p>
        </w:tc>
      </w:tr>
      <w:tr w:rsidR="007D0659" w14:paraId="4967F101"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146A152" w14:textId="77777777" w:rsidR="007D0659" w:rsidRDefault="007D0659" w:rsidP="007B0C13">
            <w:r>
              <w:rPr>
                <w:color w:val="000000"/>
              </w:rPr>
              <w:t>RF-23: Registro Inmutable de Interacciones (Log de Auditoría SHA-256)</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DA7A2E1" w14:textId="77777777" w:rsidR="007D0659" w:rsidRDefault="007D0659" w:rsidP="007B0C13">
            <w:r>
              <w:rPr>
                <w:color w:val="000000"/>
              </w:rPr>
              <w:t xml:space="preserve">Diseño del log con hashes SHA-256 encadenados garantiza que cualquier alteración posterior sea detectable. El log debe conservarse ≥ 10 años y ser consultable en ≤ 5 s por auditores autorizados con RBAC. Cubre todas las decisiones de IA, conversaciones de </w:t>
            </w:r>
            <w:proofErr w:type="spellStart"/>
            <w:r>
              <w:rPr>
                <w:color w:val="000000"/>
              </w:rPr>
              <w:t>bots</w:t>
            </w:r>
            <w:proofErr w:type="spellEnd"/>
            <w:r>
              <w:rPr>
                <w:color w:val="000000"/>
              </w:rPr>
              <w:t xml:space="preserve"> y acciones de profesionales.</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43204E48" w14:textId="77777777" w:rsidR="007D0659" w:rsidRDefault="007D0659" w:rsidP="007B0C13">
            <w:r>
              <w:rPr>
                <w:color w:val="000000"/>
              </w:rPr>
              <w:t>Alto – Condición necesaria para la aprobación regulatoria del MSP y el SPDP. Sin trazabilidad completa e inmutable, el sistema no puede demostrar cumplimiento de la LOPDP.</w:t>
            </w:r>
          </w:p>
        </w:tc>
      </w:tr>
      <w:tr w:rsidR="007D0659" w14:paraId="6FC80C99"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3958CD4" w14:textId="77777777" w:rsidR="007D0659" w:rsidRDefault="007D0659" w:rsidP="007B0C13">
            <w:r>
              <w:rPr>
                <w:color w:val="000000"/>
              </w:rPr>
              <w:t>RC-04 / RF-01: Cifrado TLS 1.3 en tránsito y AES-256 en reposo + MFA obligatorio</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B487636" w14:textId="77777777" w:rsidR="007D0659" w:rsidRDefault="007D0659" w:rsidP="007B0C13">
            <w:r>
              <w:rPr>
                <w:color w:val="000000"/>
              </w:rPr>
              <w:t>Toda comunicación entre el dispositivo del paciente y los servidores SAMR debe cifrarse con TLS 1.3, prohibiendo negociación de versiones inferiores. El almacenamiento en reposo usa AES-256. MFA es obligatorio para acceso de pacientes y profesionales a datos clínicos, conforme a ISO/IEC 27001.</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75EBBD3F" w14:textId="77777777" w:rsidR="007D0659" w:rsidRDefault="007D0659" w:rsidP="007B0C13">
            <w:r>
              <w:rPr>
                <w:color w:val="000000"/>
              </w:rPr>
              <w:t>Alto – Controles técnicos no negociables. La exposición de datos de salud sin cifrado adecuado implica sanciones bajo la LOPDP y riesgo de vidas.</w:t>
            </w:r>
          </w:p>
        </w:tc>
      </w:tr>
      <w:tr w:rsidR="007D0659" w14:paraId="240C2827"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8984D61" w14:textId="77777777" w:rsidR="007D0659" w:rsidRDefault="007D0659" w:rsidP="007B0C13">
            <w:r>
              <w:rPr>
                <w:color w:val="000000"/>
              </w:rPr>
              <w:t xml:space="preserve">RF-19: Interoperabilidad HL7 FHIR R4 con MSP/IESS – Autenticación </w:t>
            </w:r>
            <w:proofErr w:type="spellStart"/>
            <w:r>
              <w:rPr>
                <w:color w:val="000000"/>
              </w:rPr>
              <w:t>mTLS</w:t>
            </w:r>
            <w:proofErr w:type="spellEnd"/>
            <w:r>
              <w:rPr>
                <w:color w:val="000000"/>
              </w:rPr>
              <w:t>/OAuth 2.0</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5DD6F8F" w14:textId="77777777" w:rsidR="007D0659" w:rsidRDefault="007D0659" w:rsidP="007B0C13">
            <w:r>
              <w:rPr>
                <w:color w:val="000000"/>
              </w:rPr>
              <w:t xml:space="preserve">Las integraciones </w:t>
            </w:r>
            <w:proofErr w:type="spellStart"/>
            <w:r>
              <w:rPr>
                <w:color w:val="000000"/>
              </w:rPr>
              <w:t>inter-sistema</w:t>
            </w:r>
            <w:proofErr w:type="spellEnd"/>
            <w:r>
              <w:rPr>
                <w:color w:val="000000"/>
              </w:rPr>
              <w:t xml:space="preserve"> con MSP e IESS requieren autenticación mutua </w:t>
            </w:r>
            <w:proofErr w:type="spellStart"/>
            <w:r>
              <w:rPr>
                <w:color w:val="000000"/>
              </w:rPr>
              <w:t>mTLS</w:t>
            </w:r>
            <w:proofErr w:type="spellEnd"/>
            <w:r>
              <w:rPr>
                <w:color w:val="000000"/>
              </w:rPr>
              <w:t xml:space="preserve"> que verifica la identidad de ambas partes antes de establecer el canal cifrado, más OAuth 2.0 para autorización. Elimina el riesgo de suplantación de identidad entre plataformas institucionales y garantiza que solo sistemas certificados accedan al ecosistema SAMR.</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0B0D9B51" w14:textId="77777777" w:rsidR="007D0659" w:rsidRDefault="007D0659" w:rsidP="007B0C13">
            <w:r>
              <w:rPr>
                <w:color w:val="000000"/>
              </w:rPr>
              <w:t xml:space="preserve">Alto – Afecta la integridad del consorcio completo. Un fallo en la autenticación </w:t>
            </w:r>
            <w:proofErr w:type="spellStart"/>
            <w:r>
              <w:rPr>
                <w:color w:val="000000"/>
              </w:rPr>
              <w:t>inter-sistema</w:t>
            </w:r>
            <w:proofErr w:type="spellEnd"/>
            <w:r>
              <w:rPr>
                <w:color w:val="000000"/>
              </w:rPr>
              <w:t xml:space="preserve"> podría exponer el historial clínico de todos los pacientes del consorcio.</w:t>
            </w:r>
          </w:p>
        </w:tc>
      </w:tr>
      <w:tr w:rsidR="007D0659" w14:paraId="10B879D3"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16D1CB7" w14:textId="77777777" w:rsidR="007D0659" w:rsidRDefault="007D0659" w:rsidP="007B0C13">
            <w:r>
              <w:rPr>
                <w:color w:val="000000"/>
              </w:rPr>
              <w:t xml:space="preserve">RC-08: </w:t>
            </w:r>
            <w:proofErr w:type="spellStart"/>
            <w:r>
              <w:rPr>
                <w:color w:val="000000"/>
              </w:rPr>
              <w:t>Explicabilidad</w:t>
            </w:r>
            <w:proofErr w:type="spellEnd"/>
            <w:r>
              <w:rPr>
                <w:color w:val="000000"/>
              </w:rPr>
              <w:t>, equidad y derecho de impugnación de decisiones de IA (XAI)</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1F342F7" w14:textId="77777777" w:rsidR="007D0659" w:rsidRDefault="007D0659" w:rsidP="007B0C13">
            <w:r>
              <w:rPr>
                <w:color w:val="000000"/>
              </w:rPr>
              <w:t xml:space="preserve">Los modelos de IA deben ser auditables y sus decisiones impugnables por el paciente o representante legal (LOPDP). </w:t>
            </w:r>
            <w:r>
              <w:rPr>
                <w:color w:val="000000"/>
              </w:rPr>
              <w:lastRenderedPageBreak/>
              <w:t>Requiere diseñar mecanismos de XAI con niveles diferenciados: versión simplificada para el paciente y reporte técnico para auditores. La revisión periódica de sesgos algorítmicos cada 3 meses es un control de seguridad ética obligatorio.</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7C5CD731" w14:textId="77777777" w:rsidR="007D0659" w:rsidRDefault="007D0659" w:rsidP="007B0C13">
            <w:r>
              <w:rPr>
                <w:color w:val="000000"/>
              </w:rPr>
              <w:lastRenderedPageBreak/>
              <w:t xml:space="preserve">Alto – La ausencia de XAI implica incumplimiento de la LOPDP y rechazo de la aprobación regulatoria del </w:t>
            </w:r>
            <w:r>
              <w:rPr>
                <w:color w:val="000000"/>
              </w:rPr>
              <w:lastRenderedPageBreak/>
              <w:t>MSP. Afecta directamente la responsabilidad legal del sistema.</w:t>
            </w:r>
          </w:p>
        </w:tc>
      </w:tr>
      <w:tr w:rsidR="007D0659" w14:paraId="5794C87F" w14:textId="77777777" w:rsidTr="007D0659">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026536B" w14:textId="77777777" w:rsidR="007D0659" w:rsidRDefault="007D0659" w:rsidP="007B0C13">
            <w:r>
              <w:rPr>
                <w:color w:val="000000"/>
              </w:rPr>
              <w:lastRenderedPageBreak/>
              <w:t>RC-09 / RF-08: Control de Acceso RBAC con verificación por solicitud y análisis de contexto clínico</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295AF974" w14:textId="77777777" w:rsidR="007D0659" w:rsidRDefault="007D0659" w:rsidP="007B0C13">
            <w:r>
              <w:rPr>
                <w:color w:val="000000"/>
              </w:rPr>
              <w:t xml:space="preserve">El acceso a datos clínicos debe verificarse en cada solicitud individual, no solo al inicio de sesión. Ningún usuario puede acceder a datos de pacientes fuera de su ámbito de atención. Cada acceso al historial debe registrarse inmutablemente en el log de auditoría. La consulta del historial en ≤ 1 </w:t>
            </w:r>
            <w:proofErr w:type="spellStart"/>
            <w:r>
              <w:rPr>
                <w:color w:val="000000"/>
              </w:rPr>
              <w:t>s</w:t>
            </w:r>
            <w:proofErr w:type="spellEnd"/>
            <w:r>
              <w:rPr>
                <w:color w:val="000000"/>
              </w:rPr>
              <w:t xml:space="preserve"> impone restricciones de diseño sobre la implementación del RBAC.</w:t>
            </w:r>
          </w:p>
        </w:tc>
        <w:tc>
          <w:tcPr>
            <w:tcW w:w="2826" w:type="dxa"/>
            <w:tcBorders>
              <w:top w:val="single" w:sz="1" w:space="0" w:color="1F4E79"/>
              <w:left w:val="single" w:sz="1" w:space="0" w:color="1F4E79"/>
              <w:bottom w:val="single" w:sz="1" w:space="0" w:color="1F4E79"/>
              <w:right w:val="single" w:sz="1" w:space="0" w:color="1F4E79"/>
            </w:tcBorders>
            <w:shd w:val="clear" w:color="auto" w:fill="FFFFFF" w:themeFill="background1"/>
            <w:tcMar>
              <w:top w:w="100" w:type="dxa"/>
              <w:left w:w="140" w:type="dxa"/>
              <w:bottom w:w="100" w:type="dxa"/>
              <w:right w:w="140" w:type="dxa"/>
            </w:tcMar>
            <w:vAlign w:val="center"/>
          </w:tcPr>
          <w:p w14:paraId="222098DB" w14:textId="77777777" w:rsidR="007D0659" w:rsidRDefault="007D0659" w:rsidP="007B0C13">
            <w:r>
              <w:rPr>
                <w:color w:val="000000"/>
              </w:rPr>
              <w:t>Alto – El RBAC mal implementado es el vector de ataque más frecuente en sistemas de salud. Un acceso no autorizado al historial clínico constituye una violación de datos bajo la LOPDP con notificación obligatoria al SPDP en ≤ 72 horas.</w:t>
            </w:r>
          </w:p>
        </w:tc>
      </w:tr>
    </w:tbl>
    <w:p w14:paraId="01DCA029" w14:textId="77777777" w:rsidR="007D0659" w:rsidRDefault="007D0659" w:rsidP="007D0659"/>
    <w:p w14:paraId="07F8E737" w14:textId="77777777" w:rsidR="007D0659" w:rsidRDefault="007D0659" w:rsidP="007D0659">
      <w:pPr>
        <w:pBdr>
          <w:bottom w:val="single" w:sz="4" w:space="1" w:color="2E75B6"/>
        </w:pBdr>
        <w:spacing w:before="120" w:after="120"/>
      </w:pPr>
    </w:p>
    <w:p w14:paraId="72CAE3CC" w14:textId="77777777" w:rsidR="007D0659" w:rsidRDefault="007D0659" w:rsidP="007D0659">
      <w:pPr>
        <w:pStyle w:val="Ttulo1"/>
      </w:pPr>
      <w:r>
        <w:rPr>
          <w:rFonts w:ascii="Arial" w:eastAsia="Arial" w:hAnsi="Arial" w:cs="Arial"/>
          <w:b/>
          <w:bCs/>
          <w:color w:val="1F4E79"/>
          <w:sz w:val="32"/>
          <w:szCs w:val="32"/>
        </w:rPr>
        <w:t>4. Preocupaciones, Riesgos y Restricciones desde el Rol de Seguridad</w:t>
      </w:r>
    </w:p>
    <w:p w14:paraId="6C92107E" w14:textId="77777777" w:rsidR="007D0659" w:rsidRDefault="007D0659" w:rsidP="007D0659">
      <w:pPr>
        <w:pStyle w:val="Ttulo2"/>
      </w:pPr>
      <w:r>
        <w:rPr>
          <w:rFonts w:ascii="Arial" w:eastAsia="Arial" w:hAnsi="Arial" w:cs="Arial"/>
          <w:b/>
          <w:bCs/>
          <w:color w:val="2E75B6"/>
          <w:sz w:val="26"/>
          <w:szCs w:val="26"/>
        </w:rPr>
        <w:t>4.1 Principales Preocupaciones</w:t>
      </w:r>
    </w:p>
    <w:p w14:paraId="3A8FAB62" w14:textId="77777777" w:rsidR="007D0659" w:rsidRDefault="007D0659" w:rsidP="007D0659">
      <w:pPr>
        <w:pStyle w:val="Prrafodelista"/>
        <w:numPr>
          <w:ilvl w:val="0"/>
          <w:numId w:val="1"/>
        </w:numPr>
        <w:spacing w:before="40" w:after="40"/>
        <w:contextualSpacing w:val="0"/>
      </w:pPr>
      <w:r>
        <w:t xml:space="preserve">Exposición de datos de salud en conversaciones de </w:t>
      </w:r>
      <w:proofErr w:type="spellStart"/>
      <w:r>
        <w:t>bots</w:t>
      </w:r>
      <w:proofErr w:type="spellEnd"/>
      <w:r>
        <w:t xml:space="preserve"> conversacionales: Las transcripciones del </w:t>
      </w:r>
      <w:proofErr w:type="spellStart"/>
      <w:r>
        <w:t>chatbot</w:t>
      </w:r>
      <w:proofErr w:type="spellEnd"/>
      <w:r>
        <w:t xml:space="preserve"> y </w:t>
      </w:r>
      <w:proofErr w:type="spellStart"/>
      <w:r>
        <w:t>voicebot</w:t>
      </w:r>
      <w:proofErr w:type="spellEnd"/>
      <w:r>
        <w:t xml:space="preserve"> contienen síntomas, diagnósticos preliminares y datos biomédicos de alta sensibilidad. Si estos logs no se gestionan con controles equivalentes al historial clínico formal (cifrado, RBAC, retención controlada), representan un vector de fuga de datos que podría no estar cubierto por las políticas de privacidad estándar. La minimización de datos en </w:t>
      </w:r>
      <w:proofErr w:type="spellStart"/>
      <w:r>
        <w:t>bots</w:t>
      </w:r>
      <w:proofErr w:type="spellEnd"/>
      <w:r>
        <w:t xml:space="preserve"> (solo capturar lo necesario para el </w:t>
      </w:r>
      <w:proofErr w:type="spellStart"/>
      <w:r>
        <w:t>triage</w:t>
      </w:r>
      <w:proofErr w:type="spellEnd"/>
      <w:r>
        <w:t>) debe definirse como requisito de privacidad por diseño desde el inicio.</w:t>
      </w:r>
    </w:p>
    <w:p w14:paraId="34AEA0F3" w14:textId="77777777" w:rsidR="007D0659" w:rsidRDefault="007D0659" w:rsidP="007D0659">
      <w:pPr>
        <w:pStyle w:val="Prrafodelista"/>
        <w:numPr>
          <w:ilvl w:val="0"/>
          <w:numId w:val="1"/>
        </w:numPr>
        <w:spacing w:before="40" w:after="40"/>
        <w:contextualSpacing w:val="0"/>
      </w:pPr>
      <w:r>
        <w:t xml:space="preserve">Gestión del consentimiento para uso de datos en entrenamiento de IA: El uso de conversaciones de </w:t>
      </w:r>
      <w:proofErr w:type="spellStart"/>
      <w:r>
        <w:t>bots</w:t>
      </w:r>
      <w:proofErr w:type="spellEnd"/>
      <w:r>
        <w:t xml:space="preserve"> y datos de monitoreo para reentrenar modelos de ML requiere consentimiento adicional y específico, distinto del consentimiento de atención clínica. La LOPDP art. 54 prohíbe el procesamiento fuera del territorio ecuatoriano sin autorización expresa del MSP. Debe diseñarse un mecanismo de granularidad de consentimiento que permita al paciente autorizar o revocar usos específicos de sus datos de forma independiente.</w:t>
      </w:r>
    </w:p>
    <w:p w14:paraId="2A6155A8" w14:textId="77777777" w:rsidR="007D0659" w:rsidRDefault="007D0659" w:rsidP="007D0659">
      <w:pPr>
        <w:pStyle w:val="Prrafodelista"/>
        <w:numPr>
          <w:ilvl w:val="0"/>
          <w:numId w:val="1"/>
        </w:numPr>
        <w:spacing w:before="40" w:after="40"/>
        <w:contextualSpacing w:val="0"/>
      </w:pPr>
      <w:r>
        <w:t xml:space="preserve">Superficie de ataque ampliada por la arquitectura de microservicios y </w:t>
      </w:r>
      <w:proofErr w:type="spellStart"/>
      <w:r>
        <w:t>edge</w:t>
      </w:r>
      <w:proofErr w:type="spellEnd"/>
      <w:r>
        <w:t xml:space="preserve"> </w:t>
      </w:r>
      <w:proofErr w:type="spellStart"/>
      <w:r>
        <w:t>computing</w:t>
      </w:r>
      <w:proofErr w:type="spellEnd"/>
      <w:r>
        <w:t>: La arquitectura de microservicios multiplica los puntos de entrada potenciales. Los modelos de IA ejecutados en dispositivos del paciente (</w:t>
      </w:r>
      <w:proofErr w:type="spellStart"/>
      <w:r>
        <w:t>edge</w:t>
      </w:r>
      <w:proofErr w:type="spellEnd"/>
      <w:r>
        <w:t xml:space="preserve"> </w:t>
      </w:r>
      <w:proofErr w:type="spellStart"/>
      <w:r>
        <w:t>computing</w:t>
      </w:r>
      <w:proofErr w:type="spellEnd"/>
      <w:r>
        <w:t xml:space="preserve">) representan un nuevo vector: si los modelos pueden descargarse remotamente, un atacante podría interceptar o sustituir un modelo malicioso. Los mecanismos de verificación de integridad </w:t>
      </w:r>
      <w:proofErr w:type="spellStart"/>
      <w:r>
        <w:t>post-descarga</w:t>
      </w:r>
      <w:proofErr w:type="spellEnd"/>
      <w:r>
        <w:t xml:space="preserve"> mediante hashes y la autenticación del origen del modelo son controles críticos que deben especificarse.</w:t>
      </w:r>
    </w:p>
    <w:p w14:paraId="731FDD87" w14:textId="77777777" w:rsidR="007D0659" w:rsidRDefault="007D0659" w:rsidP="007D0659">
      <w:pPr>
        <w:pStyle w:val="Prrafodelista"/>
        <w:numPr>
          <w:ilvl w:val="0"/>
          <w:numId w:val="1"/>
        </w:numPr>
        <w:spacing w:before="40" w:after="40"/>
        <w:contextualSpacing w:val="0"/>
      </w:pPr>
      <w:r>
        <w:t xml:space="preserve">Detección y notificación de brechas de seguridad en el plazo regulatorio: La LOPDP exige notificación al SPDP en ≤ 72 horas tras detectar una brecha que afecte datos personales de salud. El sistema SAMR, al procesar datos de múltiples centros del consorcio, tiene un perímetro de exposición amplio. Se requiere un sistema de detección de intrusiones (IDS) </w:t>
      </w:r>
      <w:r>
        <w:lastRenderedPageBreak/>
        <w:t>con alertas automáticas, un plan de respuesta a incidentes documentado y un canal directo de comunicación con el SPDP, todos como requisitos del sistema, no como procedimientos operativos externos.</w:t>
      </w:r>
    </w:p>
    <w:p w14:paraId="28827988" w14:textId="77777777" w:rsidR="007D0659" w:rsidRDefault="007D0659" w:rsidP="007D0659">
      <w:pPr>
        <w:pStyle w:val="Prrafodelista"/>
        <w:numPr>
          <w:ilvl w:val="0"/>
          <w:numId w:val="1"/>
        </w:numPr>
        <w:spacing w:before="40" w:after="40"/>
        <w:contextualSpacing w:val="0"/>
      </w:pPr>
      <w:r>
        <w:t xml:space="preserve">Seguridad del canal de </w:t>
      </w:r>
      <w:proofErr w:type="spellStart"/>
      <w:r>
        <w:t>teleconsulta</w:t>
      </w:r>
      <w:proofErr w:type="spellEnd"/>
      <w:r>
        <w:t xml:space="preserve"> y grabaciones de sesión: Las grabaciones completas de </w:t>
      </w:r>
      <w:proofErr w:type="spellStart"/>
      <w:r>
        <w:t>teleconsultas</w:t>
      </w:r>
      <w:proofErr w:type="spellEnd"/>
      <w:r>
        <w:t xml:space="preserve"> (audio, video, datos biomédicos compartidos, sugerencias de IA) son documentos clínicos de alta sensibilidad legal. Su almacenamiento durante ≥ 10 años con inmutabilidad garantizada y acceso exclusivo a personal autorizado (con registro de cada acceso) requiere una infraestructura de almacenamiento seguro que debe dimensionarse adecuadamente y definirse desde los requisitos.</w:t>
      </w:r>
    </w:p>
    <w:p w14:paraId="307D290E" w14:textId="77777777" w:rsidR="007D0659" w:rsidRDefault="007D0659" w:rsidP="007D0659">
      <w:pPr>
        <w:pStyle w:val="Prrafodelista"/>
        <w:numPr>
          <w:ilvl w:val="0"/>
          <w:numId w:val="1"/>
        </w:numPr>
        <w:spacing w:before="40" w:after="40"/>
        <w:contextualSpacing w:val="0"/>
      </w:pPr>
      <w:r>
        <w:t xml:space="preserve">Validación de la cadena de confianza en las integraciones con proveedores externos de IA: Los centros del consorcio pueden contratar proveedores externos de IA para lectura de monitores biomédicos. Cada proveedor externo es un tercero que accede a datos de salud, lo que requiere acuerdos de procesamiento de datos (DPA) conformes a LOPDP, auditorías de seguridad de sus </w:t>
      </w:r>
      <w:proofErr w:type="spellStart"/>
      <w:r>
        <w:t>APIs</w:t>
      </w:r>
      <w:proofErr w:type="spellEnd"/>
      <w:r>
        <w:t>, y limitación contractual de la transferencia de datos al territorio ecuatoriano.</w:t>
      </w:r>
    </w:p>
    <w:p w14:paraId="4C9CBEF9" w14:textId="77777777" w:rsidR="007D0659" w:rsidRDefault="007D0659" w:rsidP="007D0659"/>
    <w:p w14:paraId="34573BD6" w14:textId="77777777" w:rsidR="007D0659" w:rsidRDefault="007D0659" w:rsidP="007D0659">
      <w:pPr>
        <w:pStyle w:val="Ttulo2"/>
      </w:pPr>
      <w:r>
        <w:rPr>
          <w:rFonts w:ascii="Arial" w:eastAsia="Arial" w:hAnsi="Arial" w:cs="Arial"/>
          <w:b/>
          <w:bCs/>
          <w:color w:val="2E75B6"/>
          <w:sz w:val="26"/>
          <w:szCs w:val="26"/>
        </w:rPr>
        <w:t>4.2 Riesgos Identificados y Nivel de Severidad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6"/>
        <w:gridCol w:w="2100"/>
        <w:gridCol w:w="2100"/>
      </w:tblGrid>
      <w:tr w:rsidR="007D0659" w14:paraId="3C32DF92" w14:textId="77777777" w:rsidTr="007B0C13">
        <w:tc>
          <w:tcPr>
            <w:tcW w:w="4826"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119F515E" w14:textId="77777777" w:rsidR="007D0659" w:rsidRDefault="007D0659" w:rsidP="007B0C13">
            <w:r>
              <w:rPr>
                <w:b/>
                <w:bCs/>
                <w:color w:val="FFFFFF"/>
              </w:rPr>
              <w:t>Riesgo</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280147B6" w14:textId="77777777" w:rsidR="007D0659" w:rsidRDefault="007D0659" w:rsidP="007B0C13">
            <w:r>
              <w:rPr>
                <w:b/>
                <w:bCs/>
                <w:color w:val="FFFFFF"/>
              </w:rPr>
              <w:t>Severidad</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40" w:type="dxa"/>
              <w:bottom w:w="100" w:type="dxa"/>
              <w:right w:w="140" w:type="dxa"/>
            </w:tcMar>
            <w:vAlign w:val="center"/>
          </w:tcPr>
          <w:p w14:paraId="5428CC4F" w14:textId="77777777" w:rsidR="007D0659" w:rsidRDefault="007D0659" w:rsidP="007B0C13">
            <w:r>
              <w:rPr>
                <w:b/>
                <w:bCs/>
                <w:color w:val="FFFFFF"/>
              </w:rPr>
              <w:t>Probabilidad</w:t>
            </w:r>
          </w:p>
        </w:tc>
      </w:tr>
      <w:tr w:rsidR="007D0659" w14:paraId="0FEE8117"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6B7BAF6" w14:textId="77777777" w:rsidR="007D0659" w:rsidRDefault="007D0659" w:rsidP="007B0C13">
            <w:r>
              <w:rPr>
                <w:color w:val="000000"/>
              </w:rPr>
              <w:t xml:space="preserve">Violación de datos de salud por escalamiento inseguro </w:t>
            </w:r>
            <w:proofErr w:type="spellStart"/>
            <w:r>
              <w:rPr>
                <w:color w:val="000000"/>
              </w:rPr>
              <w:t>bot</w:t>
            </w:r>
            <w:proofErr w:type="spellEnd"/>
            <w:r>
              <w:rPr>
                <w:color w:val="000000"/>
              </w:rPr>
              <w:t xml:space="preserve">-humano: durante el traspaso de conversación del </w:t>
            </w:r>
            <w:proofErr w:type="spellStart"/>
            <w:r>
              <w:rPr>
                <w:color w:val="000000"/>
              </w:rPr>
              <w:t>bot</w:t>
            </w:r>
            <w:proofErr w:type="spellEnd"/>
            <w:r>
              <w:rPr>
                <w:color w:val="000000"/>
              </w:rPr>
              <w:t xml:space="preserve"> al profesional, los datos de la transcripción podrían transmitirse sin los controles de autorización adecuados, exponiendo datos sensibles a personal no autorizado o a sistemas intermedios sin cifrado completo.</w:t>
            </w:r>
          </w:p>
        </w:tc>
        <w:tc>
          <w:tcPr>
            <w:tcW w:w="2100" w:type="dxa"/>
            <w:tcBorders>
              <w:top w:val="single" w:sz="1" w:space="0" w:color="1F4E79"/>
              <w:left w:val="single" w:sz="1" w:space="0" w:color="1F4E79"/>
              <w:bottom w:val="single" w:sz="1" w:space="0" w:color="1F4E79"/>
              <w:right w:val="single" w:sz="1" w:space="0" w:color="1F4E79"/>
            </w:tcBorders>
            <w:shd w:val="clear" w:color="auto" w:fill="FFD7D7"/>
            <w:tcMar>
              <w:top w:w="100" w:type="dxa"/>
              <w:left w:w="140" w:type="dxa"/>
              <w:bottom w:w="100" w:type="dxa"/>
              <w:right w:w="140" w:type="dxa"/>
            </w:tcMar>
            <w:vAlign w:val="center"/>
          </w:tcPr>
          <w:p w14:paraId="518C1774" w14:textId="77777777" w:rsidR="007D0659" w:rsidRDefault="007D0659" w:rsidP="007B0C13">
            <w:r>
              <w:rPr>
                <w:color w:val="000000"/>
              </w:rPr>
              <w:t>Alta</w:t>
            </w:r>
          </w:p>
        </w:tc>
        <w:tc>
          <w:tcPr>
            <w:tcW w:w="210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40" w:type="dxa"/>
              <w:bottom w:w="100" w:type="dxa"/>
              <w:right w:w="140" w:type="dxa"/>
            </w:tcMar>
            <w:vAlign w:val="center"/>
          </w:tcPr>
          <w:p w14:paraId="066C9DCD" w14:textId="77777777" w:rsidR="007D0659" w:rsidRDefault="007D0659" w:rsidP="007B0C13">
            <w:r>
              <w:rPr>
                <w:color w:val="000000"/>
              </w:rPr>
              <w:t>Media</w:t>
            </w:r>
          </w:p>
        </w:tc>
      </w:tr>
      <w:tr w:rsidR="007D0659" w14:paraId="24B7D7DD"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BDB0AFF" w14:textId="77777777" w:rsidR="007D0659" w:rsidRDefault="007D0659" w:rsidP="007B0C13">
            <w:r>
              <w:rPr>
                <w:color w:val="000000"/>
              </w:rPr>
              <w:t>Manipulación del log de auditoría antes de implementar la cadena de hashes SHA-256: si el log de auditoría no implementa correctamente el encadenamiento de hashes desde el primer registro, existe una ventana de tiempo en que los registros pueden alterarse sin detección, comprometiendo la trazabilidad regulatoria exigida por el MSP y el SPDP.</w:t>
            </w:r>
          </w:p>
        </w:tc>
        <w:tc>
          <w:tcPr>
            <w:tcW w:w="2100" w:type="dxa"/>
            <w:tcBorders>
              <w:top w:val="single" w:sz="1" w:space="0" w:color="1F4E79"/>
              <w:left w:val="single" w:sz="1" w:space="0" w:color="1F4E79"/>
              <w:bottom w:val="single" w:sz="1" w:space="0" w:color="1F4E79"/>
              <w:right w:val="single" w:sz="1" w:space="0" w:color="1F4E79"/>
            </w:tcBorders>
            <w:shd w:val="clear" w:color="auto" w:fill="FFD7D7"/>
            <w:tcMar>
              <w:top w:w="100" w:type="dxa"/>
              <w:left w:w="140" w:type="dxa"/>
              <w:bottom w:w="100" w:type="dxa"/>
              <w:right w:w="140" w:type="dxa"/>
            </w:tcMar>
            <w:vAlign w:val="center"/>
          </w:tcPr>
          <w:p w14:paraId="2D41C8F5" w14:textId="77777777" w:rsidR="007D0659" w:rsidRPr="000E5F52" w:rsidRDefault="007D0659" w:rsidP="007B0C13">
            <w:pPr>
              <w:rPr>
                <w:u w:val="single"/>
              </w:rPr>
            </w:pPr>
            <w:r>
              <w:rPr>
                <w:color w:val="000000"/>
              </w:rPr>
              <w:t>Alta</w:t>
            </w:r>
          </w:p>
        </w:tc>
        <w:tc>
          <w:tcPr>
            <w:tcW w:w="2100" w:type="dxa"/>
            <w:tcBorders>
              <w:top w:val="single" w:sz="1" w:space="0" w:color="1F4E79"/>
              <w:left w:val="single" w:sz="1" w:space="0" w:color="1F4E79"/>
              <w:bottom w:val="single" w:sz="1" w:space="0" w:color="1F4E79"/>
              <w:right w:val="single" w:sz="1" w:space="0" w:color="1F4E79"/>
            </w:tcBorders>
            <w:shd w:val="clear" w:color="auto" w:fill="D5F5E3"/>
            <w:tcMar>
              <w:top w:w="100" w:type="dxa"/>
              <w:left w:w="140" w:type="dxa"/>
              <w:bottom w:w="100" w:type="dxa"/>
              <w:right w:w="140" w:type="dxa"/>
            </w:tcMar>
            <w:vAlign w:val="center"/>
          </w:tcPr>
          <w:p w14:paraId="4FC71D32" w14:textId="77777777" w:rsidR="007D0659" w:rsidRDefault="007D0659" w:rsidP="007B0C13">
            <w:r>
              <w:rPr>
                <w:color w:val="000000"/>
              </w:rPr>
              <w:t>Baja-Media</w:t>
            </w:r>
          </w:p>
        </w:tc>
      </w:tr>
      <w:tr w:rsidR="007D0659" w14:paraId="25F3C480"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E104D0" w14:textId="77777777" w:rsidR="007D0659" w:rsidRDefault="007D0659" w:rsidP="007B0C13">
            <w:r>
              <w:rPr>
                <w:color w:val="000000"/>
              </w:rPr>
              <w:t xml:space="preserve">Suplantación de identidad en las integraciones HL7 FHIR con MSP/IESS: si los certificados </w:t>
            </w:r>
            <w:proofErr w:type="spellStart"/>
            <w:r>
              <w:rPr>
                <w:color w:val="000000"/>
              </w:rPr>
              <w:t>mTLS</w:t>
            </w:r>
            <w:proofErr w:type="spellEnd"/>
            <w:r>
              <w:rPr>
                <w:color w:val="000000"/>
              </w:rPr>
              <w:t xml:space="preserve"> no se rotan periódicamente o si la gestión de credenciales de OAuth 2.0 es deficiente, un atacante podría suplantar un sistema institucional y acceder al historial clínico unificado del consorcio de hasta 50 centros.</w:t>
            </w:r>
          </w:p>
        </w:tc>
        <w:tc>
          <w:tcPr>
            <w:tcW w:w="2100" w:type="dxa"/>
            <w:tcBorders>
              <w:top w:val="single" w:sz="1" w:space="0" w:color="1F4E79"/>
              <w:left w:val="single" w:sz="1" w:space="0" w:color="1F4E79"/>
              <w:bottom w:val="single" w:sz="1" w:space="0" w:color="1F4E79"/>
              <w:right w:val="single" w:sz="1" w:space="0" w:color="1F4E79"/>
            </w:tcBorders>
            <w:shd w:val="clear" w:color="auto" w:fill="FFD7D7"/>
            <w:tcMar>
              <w:top w:w="100" w:type="dxa"/>
              <w:left w:w="140" w:type="dxa"/>
              <w:bottom w:w="100" w:type="dxa"/>
              <w:right w:w="140" w:type="dxa"/>
            </w:tcMar>
            <w:vAlign w:val="center"/>
          </w:tcPr>
          <w:p w14:paraId="42827D00" w14:textId="77777777" w:rsidR="007D0659" w:rsidRDefault="007D0659" w:rsidP="007B0C13">
            <w:r>
              <w:rPr>
                <w:color w:val="000000"/>
              </w:rPr>
              <w:t>Alta</w:t>
            </w:r>
          </w:p>
        </w:tc>
        <w:tc>
          <w:tcPr>
            <w:tcW w:w="2100" w:type="dxa"/>
            <w:tcBorders>
              <w:top w:val="single" w:sz="1" w:space="0" w:color="1F4E79"/>
              <w:left w:val="single" w:sz="1" w:space="0" w:color="1F4E79"/>
              <w:bottom w:val="single" w:sz="1" w:space="0" w:color="1F4E79"/>
              <w:right w:val="single" w:sz="1" w:space="0" w:color="1F4E79"/>
            </w:tcBorders>
            <w:shd w:val="clear" w:color="auto" w:fill="D5F5E3"/>
            <w:tcMar>
              <w:top w:w="100" w:type="dxa"/>
              <w:left w:w="140" w:type="dxa"/>
              <w:bottom w:w="100" w:type="dxa"/>
              <w:right w:w="140" w:type="dxa"/>
            </w:tcMar>
            <w:vAlign w:val="center"/>
          </w:tcPr>
          <w:p w14:paraId="23022FE2" w14:textId="77777777" w:rsidR="007D0659" w:rsidRDefault="007D0659" w:rsidP="007B0C13">
            <w:r>
              <w:rPr>
                <w:color w:val="000000"/>
              </w:rPr>
              <w:t>Baja</w:t>
            </w:r>
          </w:p>
        </w:tc>
      </w:tr>
      <w:tr w:rsidR="007D0659" w14:paraId="679B9AB7"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13C61C59" w14:textId="77777777" w:rsidR="007D0659" w:rsidRDefault="007D0659" w:rsidP="007B0C13">
            <w:r>
              <w:rPr>
                <w:color w:val="000000"/>
              </w:rPr>
              <w:t xml:space="preserve">Sesgo algorítmico con impacto discriminatorio en el </w:t>
            </w:r>
            <w:proofErr w:type="spellStart"/>
            <w:r>
              <w:rPr>
                <w:color w:val="000000"/>
              </w:rPr>
              <w:t>triage</w:t>
            </w:r>
            <w:proofErr w:type="spellEnd"/>
            <w:r>
              <w:rPr>
                <w:color w:val="000000"/>
              </w:rPr>
              <w:t xml:space="preserve">: un modelo de </w:t>
            </w:r>
            <w:proofErr w:type="spellStart"/>
            <w:r>
              <w:rPr>
                <w:color w:val="000000"/>
              </w:rPr>
              <w:t>triage</w:t>
            </w:r>
            <w:proofErr w:type="spellEnd"/>
            <w:r>
              <w:rPr>
                <w:color w:val="000000"/>
              </w:rPr>
              <w:t xml:space="preserve"> que no haya sido validado con datos representativos de la población ecuatoriana (rural vs. urbano, diversidad étnica, adultos mayores) podría clasificar incorrectamente casos críticos de poblaciones vulnerables, con consecuencias clínicas graves y responsabilidad legal por discriminación algorítmica.</w:t>
            </w:r>
          </w:p>
        </w:tc>
        <w:tc>
          <w:tcPr>
            <w:tcW w:w="2100" w:type="dxa"/>
            <w:tcBorders>
              <w:top w:val="single" w:sz="1" w:space="0" w:color="1F4E79"/>
              <w:left w:val="single" w:sz="1" w:space="0" w:color="1F4E79"/>
              <w:bottom w:val="single" w:sz="1" w:space="0" w:color="1F4E79"/>
              <w:right w:val="single" w:sz="1" w:space="0" w:color="1F4E79"/>
            </w:tcBorders>
            <w:shd w:val="clear" w:color="auto" w:fill="FFD7D7"/>
            <w:tcMar>
              <w:top w:w="100" w:type="dxa"/>
              <w:left w:w="140" w:type="dxa"/>
              <w:bottom w:w="100" w:type="dxa"/>
              <w:right w:w="140" w:type="dxa"/>
            </w:tcMar>
            <w:vAlign w:val="center"/>
          </w:tcPr>
          <w:p w14:paraId="323A3E80" w14:textId="77777777" w:rsidR="007D0659" w:rsidRDefault="007D0659" w:rsidP="007B0C13">
            <w:r>
              <w:rPr>
                <w:color w:val="000000"/>
              </w:rPr>
              <w:t>Alta</w:t>
            </w:r>
          </w:p>
        </w:tc>
        <w:tc>
          <w:tcPr>
            <w:tcW w:w="210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40" w:type="dxa"/>
              <w:bottom w:w="100" w:type="dxa"/>
              <w:right w:w="140" w:type="dxa"/>
            </w:tcMar>
            <w:vAlign w:val="center"/>
          </w:tcPr>
          <w:p w14:paraId="7F7C88DE" w14:textId="77777777" w:rsidR="007D0659" w:rsidRDefault="007D0659" w:rsidP="007B0C13">
            <w:r>
              <w:rPr>
                <w:color w:val="000000"/>
              </w:rPr>
              <w:t>Media</w:t>
            </w:r>
          </w:p>
        </w:tc>
      </w:tr>
      <w:tr w:rsidR="007D0659" w14:paraId="1078DB95"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78B583D" w14:textId="77777777" w:rsidR="007D0659" w:rsidRDefault="007D0659" w:rsidP="007B0C13">
            <w:r>
              <w:rPr>
                <w:color w:val="000000"/>
              </w:rPr>
              <w:lastRenderedPageBreak/>
              <w:t xml:space="preserve">Inyección de datos maliciosos a través de la API de dispositivos </w:t>
            </w:r>
            <w:proofErr w:type="gramStart"/>
            <w:r>
              <w:rPr>
                <w:color w:val="000000"/>
              </w:rPr>
              <w:t>wearable</w:t>
            </w:r>
            <w:proofErr w:type="gramEnd"/>
            <w:r>
              <w:rPr>
                <w:color w:val="000000"/>
              </w:rPr>
              <w:t>: la ingesta de datos biomédicos de terceros mediante API estándar podría ser explotada para inyectar lecturas falsas que activen alertas o decisiones clínicas incorrectas, especialmente si la validación de integridad de los datos de entrada no está suficientemente especificada.</w:t>
            </w:r>
          </w:p>
        </w:tc>
        <w:tc>
          <w:tcPr>
            <w:tcW w:w="210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40" w:type="dxa"/>
              <w:bottom w:w="100" w:type="dxa"/>
              <w:right w:w="140" w:type="dxa"/>
            </w:tcMar>
            <w:vAlign w:val="center"/>
          </w:tcPr>
          <w:p w14:paraId="17C4FC5F" w14:textId="77777777" w:rsidR="007D0659" w:rsidRDefault="007D0659" w:rsidP="007B0C13">
            <w:r>
              <w:rPr>
                <w:color w:val="000000"/>
              </w:rPr>
              <w:t>Media-Alta</w:t>
            </w:r>
          </w:p>
        </w:tc>
        <w:tc>
          <w:tcPr>
            <w:tcW w:w="210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40" w:type="dxa"/>
              <w:bottom w:w="100" w:type="dxa"/>
              <w:right w:w="140" w:type="dxa"/>
            </w:tcMar>
            <w:vAlign w:val="center"/>
          </w:tcPr>
          <w:p w14:paraId="7B1284AD" w14:textId="77777777" w:rsidR="007D0659" w:rsidRDefault="007D0659" w:rsidP="007B0C13">
            <w:r>
              <w:rPr>
                <w:color w:val="000000"/>
              </w:rPr>
              <w:t>Media</w:t>
            </w:r>
          </w:p>
        </w:tc>
      </w:tr>
      <w:tr w:rsidR="007D0659" w14:paraId="386B7BC8" w14:textId="77777777" w:rsidTr="007B0C13">
        <w:tc>
          <w:tcPr>
            <w:tcW w:w="4826"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078CAAFD" w14:textId="77777777" w:rsidR="007D0659" w:rsidRDefault="007D0659" w:rsidP="007B0C13">
            <w:r>
              <w:rPr>
                <w:color w:val="000000"/>
              </w:rPr>
              <w:t>Incumplimiento del plazo de notificación de brechas (72 h LOPDP) por ausencia de un sistema de detección automatizada: sin un IDS/SIEM integrado al sistema SAMR, la detección de una brecha podría depender de reportes manuales, haciendo imposible cumplir el plazo legal y exponiéndose a sanciones administrativas del SPDP.</w:t>
            </w:r>
          </w:p>
        </w:tc>
        <w:tc>
          <w:tcPr>
            <w:tcW w:w="2100" w:type="dxa"/>
            <w:tcBorders>
              <w:top w:val="single" w:sz="1" w:space="0" w:color="1F4E79"/>
              <w:left w:val="single" w:sz="1" w:space="0" w:color="1F4E79"/>
              <w:bottom w:val="single" w:sz="1" w:space="0" w:color="1F4E79"/>
              <w:right w:val="single" w:sz="1" w:space="0" w:color="1F4E79"/>
            </w:tcBorders>
            <w:shd w:val="clear" w:color="auto" w:fill="FFD7D7"/>
            <w:tcMar>
              <w:top w:w="100" w:type="dxa"/>
              <w:left w:w="140" w:type="dxa"/>
              <w:bottom w:w="100" w:type="dxa"/>
              <w:right w:w="140" w:type="dxa"/>
            </w:tcMar>
            <w:vAlign w:val="center"/>
          </w:tcPr>
          <w:p w14:paraId="3A8866CE" w14:textId="77777777" w:rsidR="007D0659" w:rsidRDefault="007D0659" w:rsidP="007B0C13">
            <w:r>
              <w:rPr>
                <w:color w:val="000000"/>
              </w:rPr>
              <w:t>Alta</w:t>
            </w:r>
          </w:p>
        </w:tc>
        <w:tc>
          <w:tcPr>
            <w:tcW w:w="2100" w:type="dxa"/>
            <w:tcBorders>
              <w:top w:val="single" w:sz="1" w:space="0" w:color="1F4E79"/>
              <w:left w:val="single" w:sz="1" w:space="0" w:color="1F4E79"/>
              <w:bottom w:val="single" w:sz="1" w:space="0" w:color="1F4E79"/>
              <w:right w:val="single" w:sz="1" w:space="0" w:color="1F4E79"/>
            </w:tcBorders>
            <w:shd w:val="clear" w:color="auto" w:fill="FFF2CC"/>
            <w:tcMar>
              <w:top w:w="100" w:type="dxa"/>
              <w:left w:w="140" w:type="dxa"/>
              <w:bottom w:w="100" w:type="dxa"/>
              <w:right w:w="140" w:type="dxa"/>
            </w:tcMar>
            <w:vAlign w:val="center"/>
          </w:tcPr>
          <w:p w14:paraId="1DDCBDD6" w14:textId="77777777" w:rsidR="007D0659" w:rsidRDefault="007D0659" w:rsidP="007B0C13">
            <w:r>
              <w:rPr>
                <w:color w:val="000000"/>
              </w:rPr>
              <w:t>Media</w:t>
            </w:r>
          </w:p>
        </w:tc>
      </w:tr>
    </w:tbl>
    <w:p w14:paraId="0E78749C" w14:textId="77777777" w:rsidR="007D0659" w:rsidRDefault="007D0659" w:rsidP="007D0659"/>
    <w:p w14:paraId="3E1E4D0E" w14:textId="77777777" w:rsidR="007D0659" w:rsidRDefault="007D0659" w:rsidP="007D0659">
      <w:pPr>
        <w:pBdr>
          <w:bottom w:val="single" w:sz="4" w:space="1" w:color="2E75B6"/>
        </w:pBdr>
        <w:spacing w:before="120" w:after="120"/>
      </w:pPr>
    </w:p>
    <w:p w14:paraId="2B7ED765" w14:textId="77777777" w:rsidR="007D0659" w:rsidRDefault="007D0659" w:rsidP="007D0659">
      <w:pPr>
        <w:pStyle w:val="Ttulo1"/>
      </w:pPr>
      <w:r>
        <w:rPr>
          <w:rFonts w:ascii="Arial" w:eastAsia="Arial" w:hAnsi="Arial" w:cs="Arial"/>
          <w:b/>
          <w:bCs/>
          <w:color w:val="1F4E79"/>
          <w:sz w:val="32"/>
          <w:szCs w:val="32"/>
        </w:rPr>
        <w:t>5. Recomendaciones y Consideraciones Técnicas</w:t>
      </w:r>
    </w:p>
    <w:p w14:paraId="3C1A1835" w14:textId="77777777" w:rsidR="007D0659" w:rsidRDefault="007D0659" w:rsidP="007D0659">
      <w:pPr>
        <w:pStyle w:val="Ttulo2"/>
      </w:pPr>
      <w:r>
        <w:rPr>
          <w:rFonts w:ascii="Arial" w:eastAsia="Arial" w:hAnsi="Arial" w:cs="Arial"/>
          <w:b/>
          <w:bCs/>
          <w:color w:val="2E75B6"/>
          <w:sz w:val="26"/>
          <w:szCs w:val="26"/>
        </w:rPr>
        <w:t>5.1 Principales Recomendaciones</w:t>
      </w:r>
    </w:p>
    <w:p w14:paraId="501F6CEA" w14:textId="77777777" w:rsidR="007D0659" w:rsidRDefault="007D0659" w:rsidP="007D0659">
      <w:pPr>
        <w:pStyle w:val="Prrafodelista"/>
        <w:numPr>
          <w:ilvl w:val="0"/>
          <w:numId w:val="1"/>
        </w:numPr>
        <w:spacing w:before="40" w:after="40"/>
        <w:contextualSpacing w:val="0"/>
      </w:pPr>
      <w:r>
        <w:t>Implementar privacidad por diseño (</w:t>
      </w:r>
      <w:proofErr w:type="spellStart"/>
      <w:r>
        <w:t>Privacy</w:t>
      </w:r>
      <w:proofErr w:type="spellEnd"/>
      <w:r>
        <w:t xml:space="preserve"> </w:t>
      </w:r>
      <w:proofErr w:type="spellStart"/>
      <w:r>
        <w:t>by</w:t>
      </w:r>
      <w:proofErr w:type="spellEnd"/>
      <w:r>
        <w:t xml:space="preserve"> Design) desde el módulo M1: toda la arquitectura de </w:t>
      </w:r>
      <w:proofErr w:type="spellStart"/>
      <w:r>
        <w:t>bots</w:t>
      </w:r>
      <w:proofErr w:type="spellEnd"/>
      <w:r>
        <w:t xml:space="preserve"> conversacionales debe incorporar minimización de datos desde el inicio, capturando únicamente los datos clínicos imprescindibles para el </w:t>
      </w:r>
      <w:proofErr w:type="spellStart"/>
      <w:r>
        <w:t>triage</w:t>
      </w:r>
      <w:proofErr w:type="spellEnd"/>
      <w:r>
        <w:t xml:space="preserve"> y eliminando automáticamente los datos intermedios del proceso NLP que no deban persistir. Las transcripciones deben clasificarse como datos de salud de nivel máximo de protección y tratarse con los mismos controles que el historial clínico formal.</w:t>
      </w:r>
    </w:p>
    <w:p w14:paraId="60A227AB" w14:textId="77777777" w:rsidR="007D0659" w:rsidRDefault="007D0659" w:rsidP="007D0659">
      <w:pPr>
        <w:pStyle w:val="Prrafodelista"/>
        <w:numPr>
          <w:ilvl w:val="0"/>
          <w:numId w:val="1"/>
        </w:numPr>
        <w:spacing w:before="40" w:after="40"/>
        <w:contextualSpacing w:val="0"/>
      </w:pPr>
      <w:r>
        <w:t>Diseñar el log de auditoría como un servicio independiente de alta disponibilidad: el log no debe ser una tabla en la base de datos principal sino un servicio dedicado con almacenamiento inmutable (</w:t>
      </w:r>
      <w:proofErr w:type="spellStart"/>
      <w:r>
        <w:t>append-only</w:t>
      </w:r>
      <w:proofErr w:type="spellEnd"/>
      <w:r>
        <w:t xml:space="preserve">), replicación </w:t>
      </w:r>
      <w:proofErr w:type="spellStart"/>
      <w:r>
        <w:t>multi-zona</w:t>
      </w:r>
      <w:proofErr w:type="spellEnd"/>
      <w:r>
        <w:t xml:space="preserve"> y verificación periódica automatizada de la cadena de hashes SHA-256. Este servicio debe ser el primero en activarse en cualquier arranque del sistema y el último en detenerse, garantizando que ninguna interacción ocurra sin registro.</w:t>
      </w:r>
    </w:p>
    <w:p w14:paraId="47D8C315" w14:textId="77777777" w:rsidR="007D0659" w:rsidRDefault="007D0659" w:rsidP="007D0659">
      <w:pPr>
        <w:pStyle w:val="Prrafodelista"/>
        <w:numPr>
          <w:ilvl w:val="0"/>
          <w:numId w:val="1"/>
        </w:numPr>
        <w:spacing w:before="40" w:after="40"/>
        <w:contextualSpacing w:val="0"/>
      </w:pPr>
      <w:r>
        <w:t xml:space="preserve">Establecer un ciclo de gestión de secretos y rotación de credenciales: los certificados </w:t>
      </w:r>
      <w:proofErr w:type="spellStart"/>
      <w:r>
        <w:t>mTLS</w:t>
      </w:r>
      <w:proofErr w:type="spellEnd"/>
      <w:r>
        <w:t xml:space="preserve">, tokens OAuth 2.0, claves AES-256 y credenciales de </w:t>
      </w:r>
      <w:proofErr w:type="spellStart"/>
      <w:r>
        <w:t>APIs</w:t>
      </w:r>
      <w:proofErr w:type="spellEnd"/>
      <w:r>
        <w:t xml:space="preserve"> de terceros deben gestionarse mediante un sistema de gestión de secretos (como </w:t>
      </w:r>
      <w:proofErr w:type="spellStart"/>
      <w:r>
        <w:t>HashiCorp</w:t>
      </w:r>
      <w:proofErr w:type="spellEnd"/>
      <w:r>
        <w:t xml:space="preserve"> Vault o equivalente) con rotación automática periódica. La rotación de certificados de las integraciones con MSP e IESS debe coordinarse con contrapartes institucionales con suficiente antelación para evitar interrupciones del servicio.</w:t>
      </w:r>
    </w:p>
    <w:p w14:paraId="61C0CF0C" w14:textId="77777777" w:rsidR="007D0659" w:rsidRDefault="007D0659" w:rsidP="007D0659">
      <w:pPr>
        <w:pStyle w:val="Prrafodelista"/>
        <w:numPr>
          <w:ilvl w:val="0"/>
          <w:numId w:val="1"/>
        </w:numPr>
        <w:spacing w:before="40" w:after="40"/>
        <w:contextualSpacing w:val="0"/>
      </w:pPr>
      <w:r>
        <w:t xml:space="preserve">Incorporar un panel de auditoría de equidad algorítmica como requisito del sistema: la revisión periódica de sesgos de los modelos de </w:t>
      </w:r>
      <w:proofErr w:type="spellStart"/>
      <w:r>
        <w:t>triage</w:t>
      </w:r>
      <w:proofErr w:type="spellEnd"/>
      <w:r>
        <w:t xml:space="preserve"> y predicción cada 3 meses debe materializarse en un módulo de reportes específico, accesible por el MSP y el SPDP, que muestre métricas de distribución de clasificaciones por zona geográfica, edad, etnia y género. Este panel es tanto un control de seguridad ética como un requisito regulatorio.</w:t>
      </w:r>
    </w:p>
    <w:p w14:paraId="3CD3F812" w14:textId="77777777" w:rsidR="007D0659" w:rsidRDefault="007D0659" w:rsidP="007D0659">
      <w:pPr>
        <w:pStyle w:val="Prrafodelista"/>
        <w:numPr>
          <w:ilvl w:val="0"/>
          <w:numId w:val="1"/>
        </w:numPr>
        <w:spacing w:before="40" w:after="40"/>
        <w:contextualSpacing w:val="0"/>
      </w:pPr>
      <w:r>
        <w:t xml:space="preserve">Definir un protocolo de validación de datos de entrada para la API de dispositivos </w:t>
      </w:r>
      <w:proofErr w:type="gramStart"/>
      <w:r>
        <w:t>wearable</w:t>
      </w:r>
      <w:proofErr w:type="gramEnd"/>
      <w:r>
        <w:t>: cada dato biomédico recibido debe ser validado contra rangos clínicamente plausibles antes de ser procesado por los modelos predictivos. Se recomienda implementar firma digital en el origen del dato (dispositivo) cuando el fabricante lo soporte, y un mecanismo de cuarentena para lecturas estadísticamente anómalas que no activen alertas automáticas hasta revisión humana.</w:t>
      </w:r>
    </w:p>
    <w:p w14:paraId="2AE095EB" w14:textId="77777777" w:rsidR="007D0659" w:rsidRDefault="007D0659" w:rsidP="007D0659">
      <w:pPr>
        <w:pStyle w:val="Prrafodelista"/>
        <w:numPr>
          <w:ilvl w:val="0"/>
          <w:numId w:val="1"/>
        </w:numPr>
        <w:spacing w:before="40" w:after="40"/>
        <w:contextualSpacing w:val="0"/>
      </w:pPr>
      <w:r>
        <w:lastRenderedPageBreak/>
        <w:t xml:space="preserve">Documentar el DPIA (Data </w:t>
      </w:r>
      <w:proofErr w:type="spellStart"/>
      <w:r>
        <w:t>Protection</w:t>
      </w:r>
      <w:proofErr w:type="spellEnd"/>
      <w:r>
        <w:t xml:space="preserve"> </w:t>
      </w:r>
      <w:proofErr w:type="spellStart"/>
      <w:r>
        <w:t>Impact</w:t>
      </w:r>
      <w:proofErr w:type="spellEnd"/>
      <w:r>
        <w:t xml:space="preserve"> </w:t>
      </w:r>
      <w:proofErr w:type="spellStart"/>
      <w:r>
        <w:t>Assessment</w:t>
      </w:r>
      <w:proofErr w:type="spellEnd"/>
      <w:r>
        <w:t>) antes del despliegue de M2 y M5: la LOPDP exige evaluación formal de impacto sobre la privacidad antes de poner en producción cualquier sistema que realice tratamiento de datos de alto riesgo. El SAMR cumple múltiples criterios de alto riesgo (decisiones automatizadas sobre salud, tratamiento a gran escala, datos sensibles). El DPIA debe completarse con la participación del SPDP y documentarse como artefacto formal del proyecto.</w:t>
      </w:r>
    </w:p>
    <w:p w14:paraId="04E427E0" w14:textId="77777777" w:rsidR="007D0659" w:rsidRDefault="007D0659" w:rsidP="007D0659"/>
    <w:p w14:paraId="3FDA6523" w14:textId="77777777" w:rsidR="007D0659" w:rsidRDefault="007D0659" w:rsidP="007D0659">
      <w:pPr>
        <w:pStyle w:val="Ttulo2"/>
      </w:pPr>
      <w:r>
        <w:rPr>
          <w:rFonts w:ascii="Arial" w:eastAsia="Arial" w:hAnsi="Arial" w:cs="Arial"/>
          <w:b/>
          <w:bCs/>
          <w:color w:val="2E75B6"/>
          <w:sz w:val="26"/>
          <w:szCs w:val="26"/>
        </w:rPr>
        <w:t xml:space="preserve">5.2 </w:t>
      </w:r>
      <w:proofErr w:type="spellStart"/>
      <w:r>
        <w:rPr>
          <w:rFonts w:ascii="Arial" w:eastAsia="Arial" w:hAnsi="Arial" w:cs="Arial"/>
          <w:b/>
          <w:bCs/>
          <w:color w:val="2E75B6"/>
          <w:sz w:val="26"/>
          <w:szCs w:val="26"/>
        </w:rPr>
        <w:t>Trade-offs</w:t>
      </w:r>
      <w:proofErr w:type="spellEnd"/>
      <w:r>
        <w:rPr>
          <w:rFonts w:ascii="Arial" w:eastAsia="Arial" w:hAnsi="Arial" w:cs="Arial"/>
          <w:b/>
          <w:bCs/>
          <w:color w:val="2E75B6"/>
          <w:sz w:val="26"/>
          <w:szCs w:val="26"/>
        </w:rPr>
        <w:t xml:space="preserve"> Identificados</w:t>
      </w:r>
    </w:p>
    <w:p w14:paraId="3866C25D" w14:textId="77777777" w:rsidR="007D0659" w:rsidRDefault="007D0659" w:rsidP="007D0659">
      <w:pPr>
        <w:spacing w:before="180" w:after="80"/>
      </w:pPr>
      <w:proofErr w:type="spellStart"/>
      <w:r>
        <w:rPr>
          <w:b/>
          <w:bCs/>
          <w:color w:val="2E75B6"/>
          <w:sz w:val="22"/>
          <w:szCs w:val="22"/>
        </w:rPr>
        <w:t>Trade</w:t>
      </w:r>
      <w:proofErr w:type="spellEnd"/>
      <w:r>
        <w:rPr>
          <w:b/>
          <w:bCs/>
          <w:color w:val="2E75B6"/>
          <w:sz w:val="22"/>
          <w:szCs w:val="22"/>
        </w:rPr>
        <w:t>-off 1: Seguridad máxima vs. Disponibilidad en emergencias (Módulo M3)</w:t>
      </w:r>
    </w:p>
    <w:p w14:paraId="593B2AAC" w14:textId="77777777" w:rsidR="007D0659" w:rsidRDefault="007D0659" w:rsidP="007D0659">
      <w:pPr>
        <w:spacing w:before="60" w:after="60"/>
      </w:pPr>
      <w:r>
        <w:rPr>
          <w:color w:val="000000"/>
        </w:rPr>
        <w:t xml:space="preserve">La exigencia de MFA en cada acceso a datos clínicos garantiza que solo personal autorizado acceda al historial del paciente. Sin embargo, en escenarios de emergencia donde un profesional necesita acceder en segundos a información crítica, el tiempo adicional del MFA podría comprometer la velocidad de respuesta. Se recomienda implementar MFA adaptativo: autenticación normal en acceso estándar, pero con mecanismo de acceso de emergencia ('break </w:t>
      </w:r>
      <w:proofErr w:type="spellStart"/>
      <w:r>
        <w:rPr>
          <w:color w:val="000000"/>
        </w:rPr>
        <w:t>the</w:t>
      </w:r>
      <w:proofErr w:type="spellEnd"/>
      <w:r>
        <w:rPr>
          <w:color w:val="000000"/>
        </w:rPr>
        <w:t xml:space="preserve"> </w:t>
      </w:r>
      <w:proofErr w:type="spellStart"/>
      <w:r>
        <w:rPr>
          <w:color w:val="000000"/>
        </w:rPr>
        <w:t>glass</w:t>
      </w:r>
      <w:proofErr w:type="spellEnd"/>
      <w:r>
        <w:rPr>
          <w:color w:val="000000"/>
        </w:rPr>
        <w:t>') con autorización posterior auditada en tiempo real, que registre inmutablemente el acceso excepcional sin bloquearlo.</w:t>
      </w:r>
    </w:p>
    <w:p w14:paraId="4DE0EDDD" w14:textId="77777777" w:rsidR="007D0659" w:rsidRDefault="007D0659" w:rsidP="007D0659"/>
    <w:p w14:paraId="491207E8" w14:textId="77777777" w:rsidR="007D0659" w:rsidRDefault="007D0659" w:rsidP="007D0659">
      <w:pPr>
        <w:spacing w:before="180" w:after="80"/>
      </w:pPr>
      <w:proofErr w:type="spellStart"/>
      <w:r>
        <w:rPr>
          <w:b/>
          <w:bCs/>
          <w:color w:val="2E75B6"/>
          <w:sz w:val="22"/>
          <w:szCs w:val="22"/>
        </w:rPr>
        <w:t>Trade</w:t>
      </w:r>
      <w:proofErr w:type="spellEnd"/>
      <w:r>
        <w:rPr>
          <w:b/>
          <w:bCs/>
          <w:color w:val="2E75B6"/>
          <w:sz w:val="22"/>
          <w:szCs w:val="22"/>
        </w:rPr>
        <w:t xml:space="preserve">-off 2: Granularidad de cifrado vs. Rendimiento del </w:t>
      </w:r>
      <w:proofErr w:type="spellStart"/>
      <w:r>
        <w:rPr>
          <w:b/>
          <w:bCs/>
          <w:color w:val="2E75B6"/>
          <w:sz w:val="22"/>
          <w:szCs w:val="22"/>
        </w:rPr>
        <w:t>matching</w:t>
      </w:r>
      <w:proofErr w:type="spellEnd"/>
      <w:r>
        <w:rPr>
          <w:b/>
          <w:bCs/>
          <w:color w:val="2E75B6"/>
          <w:sz w:val="22"/>
          <w:szCs w:val="22"/>
        </w:rPr>
        <w:t xml:space="preserve"> inteligente (Módulo M2)</w:t>
      </w:r>
    </w:p>
    <w:p w14:paraId="53C63A34" w14:textId="77777777" w:rsidR="007D0659" w:rsidRDefault="007D0659" w:rsidP="007D0659">
      <w:pPr>
        <w:spacing w:before="60" w:after="60"/>
      </w:pPr>
      <w:r>
        <w:rPr>
          <w:color w:val="000000"/>
        </w:rPr>
        <w:t xml:space="preserve">El cifrado extremo a extremo de todos los datos biomédicos garantiza confidencialidad, pero impone costos computacionales que pueden incrementar la latencia del </w:t>
      </w:r>
      <w:proofErr w:type="spellStart"/>
      <w:r>
        <w:rPr>
          <w:color w:val="000000"/>
        </w:rPr>
        <w:t>triage</w:t>
      </w:r>
      <w:proofErr w:type="spellEnd"/>
      <w:r>
        <w:rPr>
          <w:color w:val="000000"/>
        </w:rPr>
        <w:t xml:space="preserve"> automatizado (objetivo ≤ 5 s) y del </w:t>
      </w:r>
      <w:proofErr w:type="spellStart"/>
      <w:r>
        <w:rPr>
          <w:color w:val="000000"/>
        </w:rPr>
        <w:t>matching</w:t>
      </w:r>
      <w:proofErr w:type="spellEnd"/>
      <w:r>
        <w:rPr>
          <w:color w:val="000000"/>
        </w:rPr>
        <w:t xml:space="preserve"> inteligente (≤ 10 s). El procesamiento de datos cifrados requiere descifrado en memoria, lo que introduce riesgos de exposición en RAM. Se recomienda evaluar el uso de computación sobre datos cifrados (</w:t>
      </w:r>
      <w:proofErr w:type="spellStart"/>
      <w:r>
        <w:rPr>
          <w:color w:val="000000"/>
        </w:rPr>
        <w:t>homomorphic</w:t>
      </w:r>
      <w:proofErr w:type="spellEnd"/>
      <w:r>
        <w:rPr>
          <w:color w:val="000000"/>
        </w:rPr>
        <w:t xml:space="preserve"> </w:t>
      </w:r>
      <w:proofErr w:type="spellStart"/>
      <w:r>
        <w:rPr>
          <w:color w:val="000000"/>
        </w:rPr>
        <w:t>encryption</w:t>
      </w:r>
      <w:proofErr w:type="spellEnd"/>
      <w:r>
        <w:rPr>
          <w:color w:val="000000"/>
        </w:rPr>
        <w:t>) para operaciones de clasificación de bajo riesgo, y cifrado selectivo con claves de sesión efímeras para el flujo de tiempo real.</w:t>
      </w:r>
    </w:p>
    <w:p w14:paraId="76B3BE72" w14:textId="77777777" w:rsidR="007D0659" w:rsidRDefault="007D0659" w:rsidP="007D0659"/>
    <w:p w14:paraId="689E0848" w14:textId="77777777" w:rsidR="007D0659" w:rsidRDefault="007D0659" w:rsidP="007D0659">
      <w:pPr>
        <w:spacing w:before="180" w:after="80"/>
      </w:pPr>
      <w:proofErr w:type="spellStart"/>
      <w:r>
        <w:rPr>
          <w:b/>
          <w:bCs/>
          <w:color w:val="2E75B6"/>
          <w:sz w:val="22"/>
          <w:szCs w:val="22"/>
        </w:rPr>
        <w:t>Trade</w:t>
      </w:r>
      <w:proofErr w:type="spellEnd"/>
      <w:r>
        <w:rPr>
          <w:b/>
          <w:bCs/>
          <w:color w:val="2E75B6"/>
          <w:sz w:val="22"/>
          <w:szCs w:val="22"/>
        </w:rPr>
        <w:t>-off 3: Retención de logs ≥ 10 años vs. Costo de almacenamiento y gestión del consorcio</w:t>
      </w:r>
    </w:p>
    <w:p w14:paraId="11B0AF84" w14:textId="77777777" w:rsidR="007D0659" w:rsidRDefault="007D0659" w:rsidP="007D0659">
      <w:pPr>
        <w:spacing w:before="60" w:after="60"/>
      </w:pPr>
      <w:r>
        <w:rPr>
          <w:color w:val="000000"/>
        </w:rPr>
        <w:t xml:space="preserve">La retención obligatoria de todos los logs de auditoría, transcripciones de </w:t>
      </w:r>
      <w:proofErr w:type="spellStart"/>
      <w:r>
        <w:rPr>
          <w:color w:val="000000"/>
        </w:rPr>
        <w:t>bots</w:t>
      </w:r>
      <w:proofErr w:type="spellEnd"/>
      <w:r>
        <w:rPr>
          <w:color w:val="000000"/>
        </w:rPr>
        <w:t xml:space="preserve"> y grabaciones de </w:t>
      </w:r>
      <w:proofErr w:type="spellStart"/>
      <w:r>
        <w:rPr>
          <w:color w:val="000000"/>
        </w:rPr>
        <w:t>teleconsultas</w:t>
      </w:r>
      <w:proofErr w:type="spellEnd"/>
      <w:r>
        <w:rPr>
          <w:color w:val="000000"/>
        </w:rPr>
        <w:t xml:space="preserve"> durante un mínimo de 10 años genera volúmenes de almacenamiento significativos, especialmente con hasta 50 centros del consorcio. El almacenamiento de largo plazo tiene un costo operativo considerable. Se recomienda una estrategia de almacenamiento por niveles (</w:t>
      </w:r>
      <w:proofErr w:type="spellStart"/>
      <w:r>
        <w:rPr>
          <w:color w:val="000000"/>
        </w:rPr>
        <w:t>hot</w:t>
      </w:r>
      <w:proofErr w:type="spellEnd"/>
      <w:r>
        <w:rPr>
          <w:color w:val="000000"/>
        </w:rPr>
        <w:t>/</w:t>
      </w:r>
      <w:proofErr w:type="spellStart"/>
      <w:r>
        <w:rPr>
          <w:color w:val="000000"/>
        </w:rPr>
        <w:t>warm</w:t>
      </w:r>
      <w:proofErr w:type="spellEnd"/>
      <w:r>
        <w:rPr>
          <w:color w:val="000000"/>
        </w:rPr>
        <w:t>/</w:t>
      </w:r>
      <w:proofErr w:type="spellStart"/>
      <w:r>
        <w:rPr>
          <w:color w:val="000000"/>
        </w:rPr>
        <w:t>cold</w:t>
      </w:r>
      <w:proofErr w:type="spellEnd"/>
      <w:r>
        <w:rPr>
          <w:color w:val="000000"/>
        </w:rPr>
        <w:t xml:space="preserve">): datos activos de los últimos 2 años en almacenamiento de alta velocidad, datos históricos en almacenamiento de baja frecuencia de </w:t>
      </w:r>
      <w:proofErr w:type="gramStart"/>
      <w:r>
        <w:rPr>
          <w:color w:val="000000"/>
        </w:rPr>
        <w:t>acceso</w:t>
      </w:r>
      <w:proofErr w:type="gramEnd"/>
      <w:r>
        <w:rPr>
          <w:color w:val="000000"/>
        </w:rPr>
        <w:t xml:space="preserve"> pero con cifrado y verificación de integridad periódica mantenidos, todo en territorio ecuatoriano conforme a la LOPDP.</w:t>
      </w:r>
    </w:p>
    <w:p w14:paraId="424A0A02" w14:textId="77777777" w:rsidR="007D0659" w:rsidRDefault="007D0659" w:rsidP="007D0659"/>
    <w:p w14:paraId="2D6ECB44" w14:textId="77777777" w:rsidR="007D0659" w:rsidRDefault="007D0659" w:rsidP="007D0659">
      <w:pPr>
        <w:pBdr>
          <w:bottom w:val="single" w:sz="4" w:space="1" w:color="2E75B6"/>
        </w:pBdr>
        <w:spacing w:before="120" w:after="120"/>
      </w:pPr>
    </w:p>
    <w:p w14:paraId="0E78AFB2" w14:textId="77777777" w:rsidR="007D0659" w:rsidRDefault="007D0659" w:rsidP="007D0659">
      <w:pPr>
        <w:pStyle w:val="Ttulo1"/>
      </w:pPr>
      <w:r>
        <w:rPr>
          <w:rFonts w:ascii="Arial" w:eastAsia="Arial" w:hAnsi="Arial" w:cs="Arial"/>
          <w:b/>
          <w:bCs/>
          <w:color w:val="1F4E79"/>
          <w:sz w:val="32"/>
          <w:szCs w:val="32"/>
        </w:rPr>
        <w:t>6. Relación con los Artefactos de Ingeniería de Requisitos</w:t>
      </w:r>
    </w:p>
    <w:p w14:paraId="46F8F7C9" w14:textId="77777777" w:rsidR="007D0659" w:rsidRDefault="007D0659" w:rsidP="007D0659">
      <w:pPr>
        <w:pStyle w:val="Ttulo2"/>
      </w:pPr>
      <w:r>
        <w:rPr>
          <w:rFonts w:ascii="Arial" w:eastAsia="Arial" w:hAnsi="Arial" w:cs="Arial"/>
          <w:b/>
          <w:bCs/>
          <w:color w:val="2E75B6"/>
          <w:sz w:val="26"/>
          <w:szCs w:val="26"/>
        </w:rPr>
        <w:t xml:space="preserve">6.1 Influencia de la Matriz de </w:t>
      </w:r>
      <w:proofErr w:type="spellStart"/>
      <w:r>
        <w:rPr>
          <w:rFonts w:ascii="Arial" w:eastAsia="Arial" w:hAnsi="Arial" w:cs="Arial"/>
          <w:b/>
          <w:bCs/>
          <w:color w:val="2E75B6"/>
          <w:sz w:val="26"/>
          <w:szCs w:val="26"/>
        </w:rPr>
        <w:t>Stakeholders</w:t>
      </w:r>
      <w:proofErr w:type="spellEnd"/>
    </w:p>
    <w:p w14:paraId="5846B5BB" w14:textId="77777777" w:rsidR="007D0659" w:rsidRDefault="007D0659" w:rsidP="007D0659">
      <w:pPr>
        <w:spacing w:before="60" w:after="60"/>
      </w:pPr>
      <w:r>
        <w:rPr>
          <w:color w:val="000000"/>
        </w:rPr>
        <w:t xml:space="preserve">La Matriz de </w:t>
      </w:r>
      <w:proofErr w:type="spellStart"/>
      <w:r>
        <w:rPr>
          <w:color w:val="000000"/>
        </w:rPr>
        <w:t>Stakeholders</w:t>
      </w:r>
      <w:proofErr w:type="spellEnd"/>
      <w:r>
        <w:rPr>
          <w:color w:val="000000"/>
        </w:rPr>
        <w:t xml:space="preserve"> tiene una influencia determinante en las decisiones de seguridad del proyecto. La presencia del SPDP (ST-08) y el MSP (ST-06) como </w:t>
      </w:r>
      <w:proofErr w:type="spellStart"/>
      <w:r>
        <w:rPr>
          <w:color w:val="000000"/>
        </w:rPr>
        <w:t>stakeholders</w:t>
      </w:r>
      <w:proofErr w:type="spellEnd"/>
      <w:r>
        <w:rPr>
          <w:color w:val="000000"/>
        </w:rPr>
        <w:t xml:space="preserve"> de poder muy alto y alto interés, respectivamente, establece que el cumplimiento regulatorio no es opcional sino una condición de existencia del sistema. Esto me obliga, como Ingeniero de Seguridad, a tratar todos los controles relacionados con LOPDP, DPIA, consentimiento y trazabilidad como requisitos de prioridad crítica, al mismo nivel que la disponibilidad del servicio de emergencias.</w:t>
      </w:r>
    </w:p>
    <w:p w14:paraId="2BB6AD5D" w14:textId="77777777" w:rsidR="007D0659" w:rsidRDefault="007D0659" w:rsidP="007D0659"/>
    <w:p w14:paraId="1A2587E1" w14:textId="77777777" w:rsidR="007D0659" w:rsidRDefault="007D0659" w:rsidP="007D0659">
      <w:pPr>
        <w:spacing w:before="60" w:after="60"/>
      </w:pPr>
      <w:r>
        <w:rPr>
          <w:color w:val="000000"/>
        </w:rPr>
        <w:t xml:space="preserve">La clasificación de los Equipos de </w:t>
      </w:r>
      <w:proofErr w:type="spellStart"/>
      <w:r>
        <w:rPr>
          <w:color w:val="000000"/>
        </w:rPr>
        <w:t>MLOps</w:t>
      </w:r>
      <w:proofErr w:type="spellEnd"/>
      <w:r>
        <w:rPr>
          <w:color w:val="000000"/>
        </w:rPr>
        <w:t xml:space="preserve">/NLP (ST-10) como </w:t>
      </w:r>
      <w:proofErr w:type="spellStart"/>
      <w:r>
        <w:rPr>
          <w:color w:val="000000"/>
        </w:rPr>
        <w:t>stakeholders</w:t>
      </w:r>
      <w:proofErr w:type="spellEnd"/>
      <w:r>
        <w:rPr>
          <w:color w:val="000000"/>
        </w:rPr>
        <w:t xml:space="preserve"> indirectos con interés muy alto es especialmente relevante: estos equipos son los responsables del ciclo de vida de los modelos de IA, incluyendo el reentrenamiento con datos de producción. Sin una política clara de uso de datos para entrenamiento (que requiere consentimiento explícito adicional del paciente), estos </w:t>
      </w:r>
      <w:proofErr w:type="spellStart"/>
      <w:r>
        <w:rPr>
          <w:color w:val="000000"/>
        </w:rPr>
        <w:t>stakeholders</w:t>
      </w:r>
      <w:proofErr w:type="spellEnd"/>
      <w:r>
        <w:rPr>
          <w:color w:val="000000"/>
        </w:rPr>
        <w:t xml:space="preserve"> podrían operar en zona gris legal. La matriz me señala que debo colaborar activamente con ellos para definir los controles de privacidad en el pipeline de </w:t>
      </w:r>
      <w:proofErr w:type="spellStart"/>
      <w:r>
        <w:rPr>
          <w:color w:val="000000"/>
        </w:rPr>
        <w:t>MLOps</w:t>
      </w:r>
      <w:proofErr w:type="spellEnd"/>
      <w:r>
        <w:rPr>
          <w:color w:val="000000"/>
        </w:rPr>
        <w:t>.</w:t>
      </w:r>
    </w:p>
    <w:p w14:paraId="2CDA73F8" w14:textId="77777777" w:rsidR="007D0659" w:rsidRDefault="007D0659" w:rsidP="007D0659"/>
    <w:p w14:paraId="539FB188" w14:textId="77777777" w:rsidR="007D0659" w:rsidRDefault="007D0659" w:rsidP="007D0659">
      <w:pPr>
        <w:spacing w:before="60" w:after="60"/>
      </w:pPr>
      <w:r>
        <w:rPr>
          <w:color w:val="000000"/>
        </w:rPr>
        <w:t xml:space="preserve">Los Proveedores Externos de IA (ST-11), clasificados como ecosistema con poder </w:t>
      </w:r>
      <w:proofErr w:type="gramStart"/>
      <w:r>
        <w:rPr>
          <w:color w:val="000000"/>
        </w:rPr>
        <w:t>bajo</w:t>
      </w:r>
      <w:proofErr w:type="gramEnd"/>
      <w:r>
        <w:rPr>
          <w:color w:val="000000"/>
        </w:rPr>
        <w:t xml:space="preserve"> pero interés alto, representan un riesgo de cadena de suministro. Aunque su poder es bajo en la toma de decisiones, tienen acceso a datos biomédicos de los centros del consorcio. Esta clasificación me indica que deben existir controles contractuales (DPA), técnicos (API con autenticación, límites de acceso) y de auditoría (revisión periódica de cumplimiento) para cada proveedor externo.</w:t>
      </w:r>
    </w:p>
    <w:p w14:paraId="306A9057" w14:textId="77777777" w:rsidR="007D0659" w:rsidRDefault="007D0659" w:rsidP="007D0659">
      <w:pPr>
        <w:pStyle w:val="Ttulo2"/>
      </w:pPr>
      <w:r>
        <w:rPr>
          <w:rFonts w:ascii="Arial" w:eastAsia="Arial" w:hAnsi="Arial" w:cs="Arial"/>
          <w:b/>
          <w:bCs/>
          <w:color w:val="2E75B6"/>
          <w:sz w:val="26"/>
          <w:szCs w:val="26"/>
        </w:rPr>
        <w:t>6.2 Influencia de los Casos de Uso y Escenarios</w:t>
      </w:r>
    </w:p>
    <w:p w14:paraId="03301C98" w14:textId="77777777" w:rsidR="007D0659" w:rsidRDefault="007D0659" w:rsidP="007D0659">
      <w:pPr>
        <w:spacing w:before="60" w:after="60"/>
      </w:pPr>
      <w:r>
        <w:rPr>
          <w:color w:val="000000"/>
        </w:rPr>
        <w:t>El CU-02 (Evaluar y asignar solicitud de atención) expone una complejidad de seguridad significativa: el flujo alterno donde el Enfermero/Paramédico recibe escalamiento por caso crítico implica que los datos del paciente deben transferirse entre perfiles de acceso distintos en tiempo real. Este flujo me señala que el RBAC no puede ser estático; debe implementarse un modelo de delegación temporal de acceso donde, durante un escalamiento de emergencia documentado, el profesional receptor recibe acceso controlado y con tiempo de expiración a los datos del caso, con registro inmutable del evento de escalamiento y de cada acceso posterior.</w:t>
      </w:r>
    </w:p>
    <w:p w14:paraId="67C5B587" w14:textId="77777777" w:rsidR="007D0659" w:rsidRDefault="007D0659" w:rsidP="007D0659"/>
    <w:p w14:paraId="26D1F2BC" w14:textId="77777777" w:rsidR="007D0659" w:rsidRDefault="007D0659" w:rsidP="007D0659">
      <w:pPr>
        <w:spacing w:before="60" w:after="60"/>
      </w:pPr>
      <w:r>
        <w:rPr>
          <w:color w:val="000000"/>
        </w:rPr>
        <w:t xml:space="preserve">El CU-05 (Integración al consorcio) expone el mayor desafío de seguridad del sistema: cada nuevo centro que se incorpora al consorcio amplía el perímetro de acceso al historial clínico unificado. El proceso de </w:t>
      </w:r>
      <w:proofErr w:type="spellStart"/>
      <w:r>
        <w:rPr>
          <w:color w:val="000000"/>
        </w:rPr>
        <w:t>onboarding</w:t>
      </w:r>
      <w:proofErr w:type="spellEnd"/>
      <w:r>
        <w:rPr>
          <w:color w:val="000000"/>
        </w:rPr>
        <w:t xml:space="preserve"> en ≤ 5 días hábiles debe incluir una verificación de seguridad formal: revisión de políticas de seguridad del centro, certificación de que sus sistemas cumplen los requisitos mínimos de cifrado y autenticación, y firma de acuerdos de procesamiento de datos antes de activar cualquier acceso al consorcio.</w:t>
      </w:r>
    </w:p>
    <w:p w14:paraId="5F59D5FC" w14:textId="77777777" w:rsidR="007D0659" w:rsidRDefault="007D0659" w:rsidP="007D0659">
      <w:pPr>
        <w:pStyle w:val="Ttulo2"/>
      </w:pPr>
      <w:r>
        <w:rPr>
          <w:rFonts w:ascii="Arial" w:eastAsia="Arial" w:hAnsi="Arial" w:cs="Arial"/>
          <w:b/>
          <w:bCs/>
          <w:color w:val="2E75B6"/>
          <w:sz w:val="26"/>
          <w:szCs w:val="26"/>
        </w:rPr>
        <w:t>6.3 Brechas o Supuestos Identificados</w:t>
      </w:r>
    </w:p>
    <w:p w14:paraId="14730D86" w14:textId="77777777" w:rsidR="007D0659" w:rsidRDefault="007D0659" w:rsidP="007D0659">
      <w:pPr>
        <w:pStyle w:val="Prrafodelista"/>
        <w:numPr>
          <w:ilvl w:val="0"/>
          <w:numId w:val="1"/>
        </w:numPr>
        <w:spacing w:before="40" w:after="40"/>
        <w:contextualSpacing w:val="0"/>
      </w:pPr>
      <w:r>
        <w:t>El Documento de Visión asume que los modelos de IA del sistema principal y los modelos de proveedores externos operarán como cajas negras controladas. Sin embargo, no especifica cómo se garantiza que un proveedor externo de IA no almacene o use datos de los pacientes del consorcio para entrenar sus propios modelos. Este supuesto requiere validación contractual y técnica (revisión de las políticas de privacidad y términos de servicio de cada proveedor) antes de la firma de cualquier contrato.</w:t>
      </w:r>
    </w:p>
    <w:p w14:paraId="1CDA9384" w14:textId="77777777" w:rsidR="007D0659" w:rsidRDefault="007D0659" w:rsidP="007D0659">
      <w:pPr>
        <w:pStyle w:val="Prrafodelista"/>
        <w:numPr>
          <w:ilvl w:val="0"/>
          <w:numId w:val="1"/>
        </w:numPr>
        <w:spacing w:before="40" w:after="40"/>
        <w:contextualSpacing w:val="0"/>
      </w:pPr>
      <w:r>
        <w:t xml:space="preserve">Los casos de uso documentan el flujo de escalamiento </w:t>
      </w:r>
      <w:proofErr w:type="spellStart"/>
      <w:r>
        <w:t>bot</w:t>
      </w:r>
      <w:proofErr w:type="spellEnd"/>
      <w:r>
        <w:t>-</w:t>
      </w:r>
      <w:proofErr w:type="gramStart"/>
      <w:r>
        <w:t>humano</w:t>
      </w:r>
      <w:proofErr w:type="gramEnd"/>
      <w:r>
        <w:t xml:space="preserve"> pero no especifican el tratamiento de la transcripción completa de la conversación durante el traspaso. No está claro si el profesional receptor de la escalada recibe la transcripción completa, un resumen, o accede a ella mediante una referencia al log. Esta brecha puede generar inconsistencias entre la práctica clínica (el médico necesita el contexto completo) y la privacidad del paciente (solo el mínimo necesario). Requiere elicitación adicional con profesionales de salud y reguladores.</w:t>
      </w:r>
    </w:p>
    <w:p w14:paraId="0859ED86" w14:textId="77777777" w:rsidR="007D0659" w:rsidRDefault="007D0659" w:rsidP="007D0659">
      <w:pPr>
        <w:pStyle w:val="Prrafodelista"/>
        <w:numPr>
          <w:ilvl w:val="0"/>
          <w:numId w:val="1"/>
        </w:numPr>
        <w:spacing w:before="40" w:after="40"/>
        <w:contextualSpacing w:val="0"/>
      </w:pPr>
      <w:r>
        <w:t xml:space="preserve">El Documento de Visión indica que la inferencia </w:t>
      </w:r>
      <w:proofErr w:type="spellStart"/>
      <w:r>
        <w:t>edge</w:t>
      </w:r>
      <w:proofErr w:type="spellEnd"/>
      <w:r>
        <w:t xml:space="preserve"> se actualiza de forma remota con verificación de integridad </w:t>
      </w:r>
      <w:proofErr w:type="spellStart"/>
      <w:r>
        <w:t>post-descarga</w:t>
      </w:r>
      <w:proofErr w:type="spellEnd"/>
      <w:r>
        <w:t xml:space="preserve">. Sin embargo, no especifica el mecanismo de firma del modelo (qué entidad firma, con qué clave, qué algoritmo) ni cómo el dispositivo del paciente valida esa firma sin conexión a internet durante la verificación. Este supuesto técnico es crítico: un modelo </w:t>
      </w:r>
      <w:proofErr w:type="spellStart"/>
      <w:r>
        <w:t>edge</w:t>
      </w:r>
      <w:proofErr w:type="spellEnd"/>
      <w:r>
        <w:t xml:space="preserve"> malicioso podría alterar las lecturas de los </w:t>
      </w:r>
      <w:proofErr w:type="gramStart"/>
      <w:r>
        <w:t>wearables</w:t>
      </w:r>
      <w:proofErr w:type="gramEnd"/>
      <w:r>
        <w:t xml:space="preserve"> o generar </w:t>
      </w:r>
      <w:proofErr w:type="spellStart"/>
      <w:r>
        <w:t>triage</w:t>
      </w:r>
      <w:proofErr w:type="spellEnd"/>
      <w:r>
        <w:t xml:space="preserve"> incorrectos. Debe especificarse como un requisito de seguridad del módulo M3.</w:t>
      </w:r>
    </w:p>
    <w:p w14:paraId="7B1ACD2E" w14:textId="77777777" w:rsidR="007D0659" w:rsidRDefault="007D0659" w:rsidP="007D0659">
      <w:pPr>
        <w:pStyle w:val="Prrafodelista"/>
        <w:numPr>
          <w:ilvl w:val="0"/>
          <w:numId w:val="1"/>
        </w:numPr>
        <w:spacing w:before="40" w:after="40"/>
        <w:contextualSpacing w:val="0"/>
      </w:pPr>
      <w:r>
        <w:t xml:space="preserve">Se asume que los centros del consorcio implementarán sus propias políticas de seguridad internas alineadas con los requisitos del SAMR. Sin embargo, no se especifica cómo el consorcio verificará periódicamente el cumplimiento de esas políticas una vez completado </w:t>
      </w:r>
      <w:r>
        <w:lastRenderedPageBreak/>
        <w:t xml:space="preserve">el </w:t>
      </w:r>
      <w:proofErr w:type="spellStart"/>
      <w:r>
        <w:t>onboarding</w:t>
      </w:r>
      <w:proofErr w:type="spellEnd"/>
      <w:r>
        <w:t xml:space="preserve"> inicial. Se requiere un proceso de auditoría continua de los centros participantes como requisito de seguridad del módulo M5.</w:t>
      </w:r>
    </w:p>
    <w:p w14:paraId="4E3E5BE4" w14:textId="77777777" w:rsidR="007D0659" w:rsidRDefault="007D0659" w:rsidP="007D0659"/>
    <w:p w14:paraId="49580F2C" w14:textId="77777777" w:rsidR="007D0659" w:rsidRDefault="007D0659" w:rsidP="007D0659">
      <w:pPr>
        <w:pBdr>
          <w:bottom w:val="single" w:sz="4" w:space="1" w:color="2E75B6"/>
        </w:pBdr>
        <w:spacing w:before="120" w:after="120"/>
      </w:pPr>
    </w:p>
    <w:p w14:paraId="524AE08D" w14:textId="77777777" w:rsidR="007D0659" w:rsidRDefault="007D0659" w:rsidP="007D0659">
      <w:pPr>
        <w:pStyle w:val="Ttulo1"/>
      </w:pPr>
      <w:r>
        <w:rPr>
          <w:rFonts w:ascii="Arial" w:eastAsia="Arial" w:hAnsi="Arial" w:cs="Arial"/>
          <w:b/>
          <w:bCs/>
          <w:color w:val="1F4E79"/>
          <w:sz w:val="32"/>
          <w:szCs w:val="32"/>
        </w:rPr>
        <w:t>7. Conclusiones y Aportes desde el Rol de Seguridad</w:t>
      </w:r>
    </w:p>
    <w:p w14:paraId="1D956BB3" w14:textId="77777777" w:rsidR="007D0659" w:rsidRDefault="007D0659" w:rsidP="007D0659">
      <w:pPr>
        <w:pStyle w:val="Ttulo2"/>
      </w:pPr>
      <w:r>
        <w:rPr>
          <w:rFonts w:ascii="Arial" w:eastAsia="Arial" w:hAnsi="Arial" w:cs="Arial"/>
          <w:b/>
          <w:bCs/>
          <w:color w:val="2E75B6"/>
          <w:sz w:val="26"/>
          <w:szCs w:val="26"/>
        </w:rPr>
        <w:t>7.1 Principales Aportes del Rol de Seguridad al Proyecto</w:t>
      </w:r>
    </w:p>
    <w:p w14:paraId="3854F339" w14:textId="085169C7" w:rsidR="00265296" w:rsidRDefault="00265296" w:rsidP="007D0659">
      <w:pPr>
        <w:spacing w:before="40" w:after="40"/>
      </w:pPr>
    </w:p>
    <w:p w14:paraId="3FE55C59" w14:textId="00B20C5E" w:rsidR="00151013" w:rsidRDefault="00684A29" w:rsidP="00151013">
      <w:pPr>
        <w:spacing w:before="40" w:after="40"/>
      </w:pPr>
      <w:r>
        <w:t xml:space="preserve">El desarrollo de este proyecto se basa en </w:t>
      </w:r>
      <w:r w:rsidR="0092225E">
        <w:t xml:space="preserve">una cooperación de varios roles, cada uno dando un aporte fundamental, en </w:t>
      </w:r>
      <w:r w:rsidR="0079355E">
        <w:t>mi caso como</w:t>
      </w:r>
      <w:r w:rsidR="0092225E">
        <w:t xml:space="preserve"> rol de Seguridad</w:t>
      </w:r>
      <w:r w:rsidR="00151013">
        <w:t xml:space="preserve">, los aportes destacables </w:t>
      </w:r>
      <w:r w:rsidR="0079355E">
        <w:t>fueron</w:t>
      </w:r>
      <w:r w:rsidR="00151013">
        <w:t>:</w:t>
      </w:r>
    </w:p>
    <w:p w14:paraId="12D4B897" w14:textId="77777777" w:rsidR="00151013" w:rsidRDefault="00151013" w:rsidP="00151013">
      <w:pPr>
        <w:spacing w:before="40" w:after="40"/>
      </w:pPr>
    </w:p>
    <w:p w14:paraId="123703A5" w14:textId="20581632" w:rsidR="007D0659" w:rsidRDefault="0079355E" w:rsidP="00510BD7">
      <w:pPr>
        <w:pStyle w:val="Prrafodelista"/>
        <w:numPr>
          <w:ilvl w:val="0"/>
          <w:numId w:val="2"/>
        </w:numPr>
        <w:spacing w:before="40" w:after="40"/>
      </w:pPr>
      <w:r>
        <w:t xml:space="preserve">Fui responsable en </w:t>
      </w:r>
      <w:r w:rsidR="0092225E">
        <w:t>el diseño y la documentación de la arquitectura en el campo de la seguridad del sistema</w:t>
      </w:r>
      <w:r>
        <w:t xml:space="preserve"> encargándome </w:t>
      </w:r>
      <w:r w:rsidR="00151013">
        <w:t>de todos los módulos existentes, usando controles criptográficos (TLS 1.3, AES-256), mecanismos de autenticación mutua para el tema de las integraciones de cada centro médic</w:t>
      </w:r>
      <w:r>
        <w:t>o</w:t>
      </w:r>
      <w:r w:rsidR="00151013">
        <w:t xml:space="preserve"> al consorcio, modelo RBAC con delegación temporal</w:t>
      </w:r>
      <w:r>
        <w:t xml:space="preserve"> para todos los roles, donde gracias a esto se cumplen</w:t>
      </w:r>
      <w:r w:rsidR="00151013">
        <w:t xml:space="preserve"> con los estándares de la ISO/IEC 27001 que es el estándar líder para la gestión de la seguridad de la información</w:t>
      </w:r>
      <w:r>
        <w:t xml:space="preserve"> </w:t>
      </w:r>
      <w:r w:rsidR="00151013">
        <w:t>y</w:t>
      </w:r>
      <w:r>
        <w:t xml:space="preserve"> en cuanto</w:t>
      </w:r>
      <w:r w:rsidR="00151013">
        <w:t xml:space="preserve"> la Ley Orgánica de Protección de Datos Personales (LOPDP)</w:t>
      </w:r>
      <w:r>
        <w:t xml:space="preserve"> donde es necesario e importante seguir con esos lineamientos para así lograr aprobaciones del MSP y también confiabilidad de los usuarios y centros médicos</w:t>
      </w:r>
    </w:p>
    <w:p w14:paraId="7C0271C9" w14:textId="7BB13E2F" w:rsidR="00151013" w:rsidRDefault="00151013" w:rsidP="007D0659">
      <w:pPr>
        <w:spacing w:before="40" w:after="40"/>
      </w:pPr>
    </w:p>
    <w:p w14:paraId="0A4E1E6C" w14:textId="11D23A0C" w:rsidR="0092225E" w:rsidRDefault="0079355E" w:rsidP="007D0659">
      <w:pPr>
        <w:pStyle w:val="Prrafodelista"/>
        <w:numPr>
          <w:ilvl w:val="0"/>
          <w:numId w:val="2"/>
        </w:numPr>
        <w:spacing w:before="40" w:after="40"/>
      </w:pPr>
      <w:r>
        <w:t>Estuve involucrado en la v</w:t>
      </w:r>
      <w:r w:rsidR="00510BD7">
        <w:t>alidación y construcción sobre la auditoria y trazabilidad, mediante la verificación log con SHA-256 encadenado</w:t>
      </w:r>
      <w:r>
        <w:t xml:space="preserve"> </w:t>
      </w:r>
      <w:r w:rsidR="00510BD7">
        <w:t xml:space="preserve">que </w:t>
      </w:r>
      <w:r>
        <w:t xml:space="preserve">esta verificación nos </w:t>
      </w:r>
      <w:r w:rsidR="00510BD7">
        <w:t xml:space="preserve">sirve para poder cubrir todas las decisiones que la IA haya tomado, conversaciones con </w:t>
      </w:r>
      <w:proofErr w:type="spellStart"/>
      <w:r w:rsidR="00510BD7">
        <w:t>bots</w:t>
      </w:r>
      <w:proofErr w:type="spellEnd"/>
      <w:r w:rsidR="00510BD7">
        <w:t xml:space="preserve"> y sobre las acciones sobre los profesionales</w:t>
      </w:r>
      <w:r>
        <w:t xml:space="preserve"> y esto</w:t>
      </w:r>
      <w:r w:rsidR="00510BD7">
        <w:t xml:space="preserve"> es importante para mantener un registro para lograr rendir y no tener problemas con el MSP y la SPDP evitando controversia</w:t>
      </w:r>
      <w:r>
        <w:t xml:space="preserve">, </w:t>
      </w:r>
      <w:proofErr w:type="gramStart"/>
      <w:r>
        <w:t>juicios público</w:t>
      </w:r>
      <w:proofErr w:type="gramEnd"/>
      <w:r>
        <w:t xml:space="preserve"> o sociales </w:t>
      </w:r>
      <w:r w:rsidR="00510BD7">
        <w:t>y problemas legales</w:t>
      </w:r>
    </w:p>
    <w:p w14:paraId="6F61CE6F" w14:textId="77777777" w:rsidR="00684A29" w:rsidRDefault="00684A29" w:rsidP="007D0659">
      <w:pPr>
        <w:spacing w:before="40" w:after="40"/>
      </w:pPr>
    </w:p>
    <w:p w14:paraId="428E1893" w14:textId="77777777" w:rsidR="007D0659" w:rsidRDefault="007D0659" w:rsidP="007D0659">
      <w:pPr>
        <w:pStyle w:val="Ttulo2"/>
      </w:pPr>
      <w:r>
        <w:rPr>
          <w:rFonts w:ascii="Arial" w:eastAsia="Arial" w:hAnsi="Arial" w:cs="Arial"/>
          <w:b/>
          <w:bCs/>
          <w:color w:val="2E75B6"/>
          <w:sz w:val="26"/>
          <w:szCs w:val="26"/>
        </w:rPr>
        <w:t>7.2 Aprendizajes Clave</w:t>
      </w:r>
    </w:p>
    <w:p w14:paraId="66D2DDA6" w14:textId="65B5209D" w:rsidR="007D0659" w:rsidRDefault="007D0659" w:rsidP="007D0659">
      <w:pPr>
        <w:spacing w:before="40" w:after="40"/>
      </w:pPr>
    </w:p>
    <w:p w14:paraId="53868B82" w14:textId="362F1DB5" w:rsidR="00510BD7" w:rsidRPr="00440F03" w:rsidRDefault="00510BD7" w:rsidP="007D0659">
      <w:pPr>
        <w:spacing w:before="40" w:after="40"/>
        <w:rPr>
          <w:u w:val="single"/>
        </w:rPr>
      </w:pPr>
      <w:r>
        <w:t xml:space="preserve">Como responsable del rol de Seguridad en el proyecto, </w:t>
      </w:r>
      <w:r w:rsidR="0079355E">
        <w:t>he logrado ver desde un punto de vista</w:t>
      </w:r>
      <w:r>
        <w:t xml:space="preserve"> totalmente diferente</w:t>
      </w:r>
      <w:r w:rsidR="0079355E">
        <w:t xml:space="preserve">, empezando desde </w:t>
      </w:r>
      <w:r>
        <w:t xml:space="preserve">la participación del desarrollo desde la etapa 0 sobre entender el contexto, identificar módulos, </w:t>
      </w:r>
      <w:proofErr w:type="spellStart"/>
      <w:r>
        <w:t>stakeholders</w:t>
      </w:r>
      <w:proofErr w:type="spellEnd"/>
      <w:r>
        <w:t>, comprendí que un sistema de salud es un sistema no solo importante sino delicado que debe tratarse con cuidado, puede existir la implementación con inteligencia Artificial pero siempre considerando todas las regulaciones existentes por parte de las organizaciones asociadas a la salud como el MSP y también adaptarse a la LOPDP cumpliendo sus estándares, que buscan el mismo fin a los usuarios beneficiados, un sistema de calidad y seguro</w:t>
      </w:r>
    </w:p>
    <w:p w14:paraId="63FEC1B6" w14:textId="77777777" w:rsidR="00510BD7" w:rsidRDefault="00510BD7" w:rsidP="007D0659">
      <w:pPr>
        <w:spacing w:before="40" w:after="40"/>
      </w:pPr>
    </w:p>
    <w:p w14:paraId="04686E9A" w14:textId="23385303" w:rsidR="00510BD7" w:rsidRDefault="00510BD7" w:rsidP="007D0659">
      <w:pPr>
        <w:spacing w:before="40" w:after="40"/>
      </w:pPr>
      <w:r>
        <w:t xml:space="preserve">El </w:t>
      </w:r>
      <w:r w:rsidR="00CB4F70">
        <w:t>requerimiento sobre</w:t>
      </w:r>
      <w:r>
        <w:t xml:space="preserve"> que la IA se encuentra involucrada en el sistema ya no se trata de un sistema normal de gestión y agendar citas o solicitar ayuda, sino ya existe interacción de </w:t>
      </w:r>
      <w:proofErr w:type="spellStart"/>
      <w:r>
        <w:t>bot</w:t>
      </w:r>
      <w:proofErr w:type="spellEnd"/>
      <w:r>
        <w:t xml:space="preserve">-paciente o incluso personal de la salud y la información que se exponga debe mantenerse totalmente segura </w:t>
      </w:r>
      <w:r w:rsidR="00440F03">
        <w:t>sin ningún riesgo</w:t>
      </w:r>
    </w:p>
    <w:p w14:paraId="6F1DC3C4" w14:textId="77777777" w:rsidR="00440F03" w:rsidRDefault="00440F03" w:rsidP="007D0659">
      <w:pPr>
        <w:spacing w:before="40" w:after="40"/>
      </w:pPr>
    </w:p>
    <w:p w14:paraId="756662C1" w14:textId="1D421E7C" w:rsidR="00440F03" w:rsidRDefault="00440F03" w:rsidP="007D0659">
      <w:pPr>
        <w:spacing w:before="40" w:after="40"/>
      </w:pPr>
      <w:r>
        <w:t>Por ello es importante que incluso antes de empezar con la programación definir bien las reglas lógicas entender por completos los flujos relacionados al área de seguridad</w:t>
      </w:r>
      <w:r w:rsidR="00CB4F70">
        <w:t>, hacer un levantamiento correcto sobre la licitación</w:t>
      </w:r>
      <w:r>
        <w:t xml:space="preserve"> y la participación de los demás roles como equipo, el poder discutir y entender los diferentes puntos de vista, me brindaron nuevas maneras de ver la </w:t>
      </w:r>
      <w:r>
        <w:lastRenderedPageBreak/>
        <w:t>misma problemática desde otros ángulos</w:t>
      </w:r>
      <w:r w:rsidR="00CB4F70">
        <w:t xml:space="preserve"> </w:t>
      </w:r>
      <w:r>
        <w:t xml:space="preserve">por </w:t>
      </w:r>
      <w:r w:rsidR="00CB4F70">
        <w:t xml:space="preserve">ello </w:t>
      </w:r>
      <w:r>
        <w:t>los limites bien establecidos desde el inicio son bases fuertes para el proyecto</w:t>
      </w:r>
    </w:p>
    <w:p w14:paraId="3A7B7EED" w14:textId="77777777" w:rsidR="00440F03" w:rsidRDefault="00440F03" w:rsidP="007D0659">
      <w:pPr>
        <w:spacing w:before="40" w:after="40"/>
      </w:pPr>
    </w:p>
    <w:p w14:paraId="42FC9AD1" w14:textId="75DFEDEC" w:rsidR="00440F03" w:rsidRPr="00CB4F70" w:rsidRDefault="00440F03" w:rsidP="007D0659">
      <w:pPr>
        <w:spacing w:before="40" w:after="40"/>
        <w:rPr>
          <w:u w:val="single"/>
        </w:rPr>
      </w:pPr>
      <w:r>
        <w:t>Como Ingeniero de Seguridad mi aporte mas importante es lograr hacer que los requisitos regulatorios de la LOPDP y el MSP se puedan implementarlos y verificar en el sistema, mientras que otros roles buscan enfocarse en funcionalidad y experiencia del usuario, soy el encargo de acoplarme a su trabajo y asegurarlo para que debajo de todo el usuario y la información siempre permanezca protegida lo máximo posible</w:t>
      </w:r>
    </w:p>
    <w:sectPr w:rsidR="00440F03" w:rsidRPr="00CB4F70" w:rsidSect="00EB401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4264A"/>
    <w:multiLevelType w:val="hybridMultilevel"/>
    <w:tmpl w:val="1A5C7DBA"/>
    <w:lvl w:ilvl="0" w:tplc="E73ECBF4">
      <w:start w:val="1"/>
      <w:numFmt w:val="bullet"/>
      <w:lvlText w:val="•"/>
      <w:lvlJc w:val="left"/>
      <w:pPr>
        <w:ind w:left="720" w:hanging="360"/>
      </w:pPr>
    </w:lvl>
    <w:lvl w:ilvl="1" w:tplc="024C56B2">
      <w:numFmt w:val="decimal"/>
      <w:lvlText w:val=""/>
      <w:lvlJc w:val="left"/>
    </w:lvl>
    <w:lvl w:ilvl="2" w:tplc="80D6144A">
      <w:numFmt w:val="decimal"/>
      <w:lvlText w:val=""/>
      <w:lvlJc w:val="left"/>
    </w:lvl>
    <w:lvl w:ilvl="3" w:tplc="ADA63F48">
      <w:numFmt w:val="decimal"/>
      <w:lvlText w:val=""/>
      <w:lvlJc w:val="left"/>
    </w:lvl>
    <w:lvl w:ilvl="4" w:tplc="0AB40350">
      <w:numFmt w:val="decimal"/>
      <w:lvlText w:val=""/>
      <w:lvlJc w:val="left"/>
    </w:lvl>
    <w:lvl w:ilvl="5" w:tplc="4F4805C6">
      <w:numFmt w:val="decimal"/>
      <w:lvlText w:val=""/>
      <w:lvlJc w:val="left"/>
    </w:lvl>
    <w:lvl w:ilvl="6" w:tplc="BB0EB262">
      <w:numFmt w:val="decimal"/>
      <w:lvlText w:val=""/>
      <w:lvlJc w:val="left"/>
    </w:lvl>
    <w:lvl w:ilvl="7" w:tplc="F670CDFC">
      <w:numFmt w:val="decimal"/>
      <w:lvlText w:val=""/>
      <w:lvlJc w:val="left"/>
    </w:lvl>
    <w:lvl w:ilvl="8" w:tplc="ED9E67F4">
      <w:numFmt w:val="decimal"/>
      <w:lvlText w:val=""/>
      <w:lvlJc w:val="left"/>
    </w:lvl>
  </w:abstractNum>
  <w:abstractNum w:abstractNumId="1" w15:restartNumberingAfterBreak="0">
    <w:nsid w:val="559A45F1"/>
    <w:multiLevelType w:val="hybridMultilevel"/>
    <w:tmpl w:val="01F453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67053349">
    <w:abstractNumId w:val="0"/>
    <w:lvlOverride w:ilvl="0">
      <w:startOverride w:val="1"/>
    </w:lvlOverride>
  </w:num>
  <w:num w:numId="2" w16cid:durableId="437874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64"/>
    <w:rsid w:val="000226E3"/>
    <w:rsid w:val="000E5F52"/>
    <w:rsid w:val="000E7D6F"/>
    <w:rsid w:val="00151013"/>
    <w:rsid w:val="00265296"/>
    <w:rsid w:val="002B0C1A"/>
    <w:rsid w:val="00440F03"/>
    <w:rsid w:val="00510BD7"/>
    <w:rsid w:val="00684A29"/>
    <w:rsid w:val="00741F83"/>
    <w:rsid w:val="0079355E"/>
    <w:rsid w:val="007D0659"/>
    <w:rsid w:val="0092225E"/>
    <w:rsid w:val="00A307E9"/>
    <w:rsid w:val="00A51F64"/>
    <w:rsid w:val="00C8096F"/>
    <w:rsid w:val="00CB4F70"/>
    <w:rsid w:val="00DB7ACD"/>
    <w:rsid w:val="00EB40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7DBD"/>
  <w15:chartTrackingRefBased/>
  <w15:docId w15:val="{F64B44D2-0A54-49AC-926F-A0F714B5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64"/>
    <w:pPr>
      <w:spacing w:after="0" w:line="240" w:lineRule="auto"/>
    </w:pPr>
    <w:rPr>
      <w:rFonts w:ascii="Arial" w:eastAsia="Arial" w:hAnsi="Arial" w:cs="Arial"/>
      <w:sz w:val="20"/>
      <w:szCs w:val="20"/>
      <w:lang w:eastAsia="es-EC"/>
      <w14:ligatures w14:val="none"/>
    </w:rPr>
  </w:style>
  <w:style w:type="paragraph" w:styleId="Ttulo1">
    <w:name w:val="heading 1"/>
    <w:basedOn w:val="Normal"/>
    <w:next w:val="Normal"/>
    <w:link w:val="Ttulo1Car"/>
    <w:uiPriority w:val="9"/>
    <w:qFormat/>
    <w:rsid w:val="00A51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51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1F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1F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1F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1F6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1F6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1F6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1F6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1F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1F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1F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1F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1F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1F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1F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1F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1F64"/>
    <w:rPr>
      <w:rFonts w:eastAsiaTheme="majorEastAsia" w:cstheme="majorBidi"/>
      <w:color w:val="272727" w:themeColor="text1" w:themeTint="D8"/>
    </w:rPr>
  </w:style>
  <w:style w:type="paragraph" w:styleId="Ttulo">
    <w:name w:val="Title"/>
    <w:basedOn w:val="Normal"/>
    <w:next w:val="Normal"/>
    <w:link w:val="TtuloCar"/>
    <w:uiPriority w:val="10"/>
    <w:qFormat/>
    <w:rsid w:val="00A51F6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1F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1F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1F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1F64"/>
    <w:pPr>
      <w:spacing w:before="160"/>
      <w:jc w:val="center"/>
    </w:pPr>
    <w:rPr>
      <w:i/>
      <w:iCs/>
      <w:color w:val="404040" w:themeColor="text1" w:themeTint="BF"/>
    </w:rPr>
  </w:style>
  <w:style w:type="character" w:customStyle="1" w:styleId="CitaCar">
    <w:name w:val="Cita Car"/>
    <w:basedOn w:val="Fuentedeprrafopredeter"/>
    <w:link w:val="Cita"/>
    <w:uiPriority w:val="29"/>
    <w:rsid w:val="00A51F64"/>
    <w:rPr>
      <w:i/>
      <w:iCs/>
      <w:color w:val="404040" w:themeColor="text1" w:themeTint="BF"/>
    </w:rPr>
  </w:style>
  <w:style w:type="paragraph" w:styleId="Prrafodelista">
    <w:name w:val="List Paragraph"/>
    <w:basedOn w:val="Normal"/>
    <w:qFormat/>
    <w:rsid w:val="00A51F64"/>
    <w:pPr>
      <w:ind w:left="720"/>
      <w:contextualSpacing/>
    </w:pPr>
  </w:style>
  <w:style w:type="character" w:styleId="nfasisintenso">
    <w:name w:val="Intense Emphasis"/>
    <w:basedOn w:val="Fuentedeprrafopredeter"/>
    <w:uiPriority w:val="21"/>
    <w:qFormat/>
    <w:rsid w:val="00A51F64"/>
    <w:rPr>
      <w:i/>
      <w:iCs/>
      <w:color w:val="0F4761" w:themeColor="accent1" w:themeShade="BF"/>
    </w:rPr>
  </w:style>
  <w:style w:type="paragraph" w:styleId="Citadestacada">
    <w:name w:val="Intense Quote"/>
    <w:basedOn w:val="Normal"/>
    <w:next w:val="Normal"/>
    <w:link w:val="CitadestacadaCar"/>
    <w:uiPriority w:val="30"/>
    <w:qFormat/>
    <w:rsid w:val="00A51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1F64"/>
    <w:rPr>
      <w:i/>
      <w:iCs/>
      <w:color w:val="0F4761" w:themeColor="accent1" w:themeShade="BF"/>
    </w:rPr>
  </w:style>
  <w:style w:type="character" w:styleId="Referenciaintensa">
    <w:name w:val="Intense Reference"/>
    <w:basedOn w:val="Fuentedeprrafopredeter"/>
    <w:uiPriority w:val="32"/>
    <w:qFormat/>
    <w:rsid w:val="00A51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9</Pages>
  <Words>3866</Words>
  <Characters>21267</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NICOLAY JIMENEZ CARRION</dc:creator>
  <cp:keywords/>
  <dc:description/>
  <cp:lastModifiedBy>DIEGO NICOLAY JIMENEZ CARRION</cp:lastModifiedBy>
  <cp:revision>2</cp:revision>
  <dcterms:created xsi:type="dcterms:W3CDTF">2026-05-27T08:27:00Z</dcterms:created>
  <dcterms:modified xsi:type="dcterms:W3CDTF">2026-06-01T14:36:00Z</dcterms:modified>
</cp:coreProperties>
</file>