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ISCSIC 2026 - Separate Title Page</w:t>
      </w:r>
    </w:p>
    <w:p>
      <w:pPr>
        <w:jc w:val="center"/>
      </w:pPr>
      <w:r>
        <w:rPr>
          <w:b/>
          <w:sz w:val="24"/>
        </w:rPr>
        <w:t>CREATE: Training-Feedback-Guided Reward Evolution for Learning-Based Control</w:t>
      </w:r>
    </w:p>
    <w:p>
      <w:pPr>
        <w:spacing w:before="60" w:after="0"/>
      </w:pPr>
      <w:r>
        <w:rPr>
          <w:b/>
          <w:sz w:val="19"/>
        </w:rPr>
        <w:t>Authors and affiliations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Full name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Affiliation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ORCID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[Author]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[Department, Institution, City, Country]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[Email]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[ORCID]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[Author]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[Department, Institution, City, Country]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[Email]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[ORCID]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[Author]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[Department, Institution, City, Country]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[Email]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sz w:val="16"/>
              </w:rPr>
              <w:t>[ORCID]</w:t>
            </w:r>
          </w:p>
        </w:tc>
      </w:tr>
    </w:tbl>
    <w:p>
      <w:pPr>
        <w:spacing w:before="60" w:after="0"/>
      </w:pPr>
      <w:r>
        <w:rPr>
          <w:b/>
          <w:sz w:val="19"/>
        </w:rPr>
        <w:t>Corresponding author</w:t>
      </w:r>
    </w:p>
    <w:p>
      <w:r>
        <w:t>[Name; full postal address; email; telephone if required]</w:t>
      </w:r>
    </w:p>
    <w:p>
      <w:pPr>
        <w:spacing w:before="60" w:after="0"/>
      </w:pPr>
      <w:r>
        <w:rPr>
          <w:b/>
          <w:sz w:val="19"/>
        </w:rPr>
        <w:t>Abstract</w:t>
      </w:r>
    </w:p>
    <w:p>
      <w:pPr>
        <w:spacing w:line="240" w:lineRule="auto"/>
      </w:pPr>
      <w:r>
        <w:rPr>
          <w:sz w:val="16"/>
        </w:rPr>
        <w:t>Large language models (LLMs) can synthesize executable reward functions for reinforcement learning, but an initially plausible reward often fails after a full policy-training run. Discarding that run wastes information about the induced behavior and the reward terms that produced it. We present CREATE, a persistent reward-design agent that treats each completed training run as data for the next reward-design decision. CREATE separates the generated reward used by proximal policy optimization from the environment-native objective used for evaluation, summarizes task performance and reward-component statistics, revises the active reward program, records the lineage of revisions, and retains the best reward-policy pair. This forms an autonomous supervisory loop for learning-based control rather than a sequence of unrelated one-shot generations. Across five independent seeds on LunarLander-v3, CREATE improves every initially sub-threshold reward beyond the 200-point criterion within ten reward evaluations. On BipedalWalker-v3, all five lineages cross 300, including a representative progression from 103.03 to 264.39 and then 304.92. An unconstrained multi-component revision ablation solves 0/5 LunarLander runs. The results show that unsuccessful LLM-generated rewards can be reused as revisable intermediate programs and improved through training-feedback-guided evolution.</w:t>
      </w:r>
    </w:p>
    <w:p>
      <w:pPr>
        <w:spacing w:before="60" w:after="0"/>
      </w:pPr>
      <w:r>
        <w:rPr>
          <w:b/>
          <w:sz w:val="19"/>
        </w:rPr>
        <w:t>Keywords</w:t>
      </w:r>
    </w:p>
    <w:p>
      <w:r>
        <w:t>reinforcement learning; reward design; large language models; autonomous agents; learning-based control</w:t>
      </w:r>
    </w:p>
    <w:p>
      <w:pPr>
        <w:spacing w:before="60" w:after="0"/>
      </w:pPr>
      <w:r>
        <w:rPr>
          <w:b/>
          <w:sz w:val="19"/>
        </w:rPr>
        <w:t>Target session</w:t>
      </w:r>
    </w:p>
    <w:p>
      <w:r>
        <w:t>Session VII - Frontiers of Intelligent Systems: AI-Driven Control, Autonomy, and Emerging Challenges</w:t>
      </w:r>
    </w:p>
    <w:p>
      <w:pPr>
        <w:spacing w:before="60" w:after="0"/>
      </w:pPr>
      <w:r>
        <w:rPr>
          <w:b/>
          <w:sz w:val="19"/>
        </w:rPr>
        <w:t>Declarations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Funding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[Agency and grant number, or no external funding.]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Acknowledgments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[Text or Not applicable.]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Conflict of interest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[Declaration.]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Generative-AI use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[Tool/provider/model/version, dates, purpose, representative prompts, author verification; confirm no data/results were generated or altered.]</w:t>
            </w:r>
          </w:p>
        </w:tc>
      </w:tr>
    </w:tbl>
    <w:p>
      <w:pPr>
        <w:spacing w:before="60" w:after="0"/>
      </w:pPr>
      <w:r>
        <w:rPr>
          <w:b/>
          <w:sz w:val="19"/>
        </w:rPr>
        <w:t>Confidential/identifying information omitted from anonymous manuscript</w:t>
      </w:r>
    </w:p>
    <w:p>
      <w:r>
        <w:t>[Funding identifiers, institution-specific facilities, public repository, and other identifying items.]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