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4hiv9h9i4mpo" w:id="0"/>
      <w:bookmarkEnd w:id="0"/>
      <w:r w:rsidDel="00000000" w:rsidR="00000000" w:rsidRPr="00000000">
        <w:rPr>
          <w:rtl w:val="0"/>
        </w:rPr>
        <w:t xml:space="preserve">Data Strategy, Design Rationale, and AI Integration 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Nicole Gemelli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o32tr7lchch8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Data Strategy and Preparation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 provide a unified view of the customer journey, data was consolidated from three isolated systems: the CRM pipeline, the marketing platform, and the support ticketing system. The datasets were imported into SPICE (Super-fast, Parallel, In-memory Calculation Engine), which is AWS QuickSight’s in-memory data store designed to accelerate analytical queries.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During the ETL (Extract, Transform, Load) process, date fields were corrected to proper formats, and custom metrics such as Campaign ROI and Deal Days-to-Close were generated using built-in business logic. The three datasets were then unified using a </w:t>
      </w:r>
      <w:r w:rsidDel="00000000" w:rsidR="00000000" w:rsidRPr="00000000">
        <w:rPr>
          <w:b w:val="1"/>
          <w:bCs w:val="1"/>
          <w:rtl w:val="0"/>
        </w:rPr>
        <w:t xml:space="preserve">Full Outer 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 a method of combining data that retains all records from all sources, even if they lack a matching identifier in the other tables. This specific join type was critical to ensure that "orphan" marketing leads and support tickets (those without a corresponding CRM account) were not dropped from the analysis.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or970zv1weu7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Dashboard Design Rationale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dashboard was structured into three distinct views to align with the revenue team’s operational workflow: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Funnel:</w:t>
      </w:r>
      <w:r w:rsidDel="00000000" w:rsidR="00000000" w:rsidRPr="00000000">
        <w:rPr>
          <w:rtl w:val="0"/>
        </w:rPr>
        <w:t xml:space="preserve"> Designed to track investment efficiency. A funnel chart visualizes the drop-off rates from prospect to closed-won, while horizontal bar charts compare Return on Investment (ROI) across campaigns.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Pipeline:</w:t>
      </w:r>
      <w:r w:rsidDel="00000000" w:rsidR="00000000" w:rsidRPr="00000000">
        <w:rPr>
          <w:rtl w:val="0"/>
        </w:rPr>
        <w:t xml:space="preserve"> Focused on revenue generation and roadblocks. A donut chart highlights win/loss ratios, augmented with one-click filtering. Clicking the "Lost" segment instantly filters the entire sheet to reveal regional weaknesses and product-specific loss reasons.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Health:</w:t>
      </w:r>
      <w:r w:rsidDel="00000000" w:rsidR="00000000" w:rsidRPr="00000000">
        <w:rPr>
          <w:rtl w:val="0"/>
        </w:rPr>
        <w:t xml:space="preserve"> Built to identify churn risk. The anchor visual is an interactive table isolating accounts with negative sentiment. A cross-sheet navigation action allows users to click a struggling account in the support view and immediately jump to the Sales Pipeline to assess their financial deal value.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tu6cjxy7od70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Key Insights and Recommendations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By unifying the data, several cross-functional insights were uncovered: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Efficiency:</w:t>
      </w:r>
      <w:r w:rsidDel="00000000" w:rsidR="00000000" w:rsidRPr="00000000">
        <w:rPr>
          <w:rtl w:val="0"/>
        </w:rPr>
        <w:t xml:space="preserve"> The Paid Social channel generates 35% of all leads but yields a negative ROI of -12%. We are burning budget on campaigns that do not convert into closed deals.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Reallocate 20% of the Paid Social budget to Organic Search for the next quarter.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Competitiveness:</w:t>
      </w:r>
      <w:r w:rsidDel="00000000" w:rsidR="00000000" w:rsidRPr="00000000">
        <w:rPr>
          <w:rtl w:val="0"/>
        </w:rPr>
        <w:t xml:space="preserve"> The primary loss reason for the Enterprise segment is "Competitor Won" (accounting for 45% of lost deals). Our flagship product (NovaPulse Ultimate) is losing its competitive edge with large clients.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Request the Product Team to conduct an analysis of missing features compared to key competitors.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Risk:</w:t>
      </w:r>
      <w:r w:rsidDel="00000000" w:rsidR="00000000" w:rsidRPr="00000000">
        <w:rPr>
          <w:rtl w:val="0"/>
        </w:rPr>
        <w:t xml:space="preserve"> 5 Enterprise accounts with a Deal Value over $20,000 have a "negative" customer sentiment and more than 10 open tickets. We risk a severe churn rate among our most profitable clients.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Customer Success Manager must schedule immediate alignment calls with these 5 accounts within 48 hours.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x5p36e2t7xm1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AI-Powered Analysis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 enable natural language querying for ad-hoc questions, an Amazon Q Topic was configured. Initially, the baseline AI struggled to interpret domain-specific terminology. For example, querying "revenue" or "clients" yielded inaccurate results because the system strictly looked for exact column names.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 resolve this, </w:t>
      </w:r>
      <w:r w:rsidDel="00000000" w:rsidR="00000000" w:rsidRPr="00000000">
        <w:rPr>
          <w:b w:val="1"/>
          <w:bCs w:val="1"/>
          <w:rtl w:val="0"/>
        </w:rPr>
        <w:t xml:space="preserve">Semantic Enrichment</w:t>
      </w:r>
      <w:r w:rsidDel="00000000" w:rsidR="00000000" w:rsidRPr="00000000">
        <w:rPr>
          <w:rtl w:val="0"/>
        </w:rPr>
        <w:t xml:space="preserve"> was applied—a process of teaching the AI business context by defining synonyms (e.g., mapping "revenue" to the deal value column) and formatting fields appropriately (e.g., currency).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Post-configuration, the AI's accuracy improved drastically. Amazon Q agreed perfectly with the dashboard on standard aggregations, such as total support tickets or campaign response counts. However, it occasionally required highly specific phrasing when analyzing cross-dataset metrics (like comparing support volume directly against marketing spend), whereas the pre-built dashboard visuals presented these relationships seamlessly. Q is best utilized for rapid, single-metric exploratory questions, while the dashboard remains the source of truth for complex, multi-variable strategic reviews.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