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Dublin/Columbus,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Bilingual (English/Spanish) communications and community relations professional with five years of experience in outreach coordination, partnership development, client relationship management, and professional communications. Skilled in building authentic relationships with diverse audiences, coordinating multi-channel outreach campaigns, managing stakeholder communications, and representing organizations in community and professional settings. Background spans corporate-level bilingual communications at a global Fortune 500 company, full-cycle client relationship management for multiple simultaneous accounts, and event coordination in academic and professional environments. Deeply committed to community-centered work — bringing both the language skills and cultural understanding to connect authentically with Spanish-speaking communities. Authorized to work in the United States (EAD C08, no sponsorship required).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Community Outreach &amp; Engagement · Partnership Coordination &amp; Development · Bilingual Communications (English/Spanish) · Event Planning &amp; Coordination · Relationship Management · Professional Written &amp; Verbal Communication · Presentation &amp; Public Speaking · Data Tracking &amp; Enrollment Reporting · Multi-Stakeholder Coordination · Marketing &amp; Promotional Materials · CRM &amp; Database Management · Scheduling &amp; Calendar Coordination · Microsoft Office Suite · Google Workspace</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July 2026</w:t>
      </w:r>
    </w:p>
    <w:p>
      <w:pPr>
        <w:pStyle w:val="ListBullet"/>
        <w:spacing w:before="20" w:after="20"/>
        <w:ind w:left="288"/>
      </w:pPr>
      <w:r>
        <w:rPr>
          <w:rFonts w:ascii="Calibri" w:hAnsi="Calibri"/>
          <w:b w:val="0"/>
          <w:color w:val="222222"/>
          <w:sz w:val="21"/>
        </w:rPr>
        <w:t>Serve as a bilingual (English/Spanish) communications liaison between management and a 500+ person multicultural workforce at a global Fortune 500 company — facilitating clear, culturally competent communication across language barriers</w:t>
      </w:r>
    </w:p>
    <w:p>
      <w:pPr>
        <w:pStyle w:val="ListBullet"/>
        <w:spacing w:before="20" w:after="20"/>
        <w:ind w:left="288"/>
      </w:pPr>
      <w:r>
        <w:rPr>
          <w:rFonts w:ascii="Calibri" w:hAnsi="Calibri"/>
          <w:b w:val="0"/>
          <w:color w:val="222222"/>
          <w:sz w:val="21"/>
        </w:rPr>
        <w:t>Prepare and distribute professional communications, reports, and branded materials to stakeholders at all organizational levels</w:t>
      </w:r>
    </w:p>
    <w:p>
      <w:pPr>
        <w:pStyle w:val="ListBullet"/>
        <w:spacing w:before="20" w:after="20"/>
        <w:ind w:left="288"/>
      </w:pPr>
      <w:r>
        <w:rPr>
          <w:rFonts w:ascii="Calibri" w:hAnsi="Calibri"/>
          <w:b w:val="0"/>
          <w:color w:val="222222"/>
          <w:sz w:val="21"/>
        </w:rPr>
        <w:t>Coordinate information flow across multiple departments — managing competing deadlines with consistent accuracy and professionalism</w:t>
      </w:r>
    </w:p>
    <w:p>
      <w:pPr>
        <w:pStyle w:val="ListBullet"/>
        <w:spacing w:before="20" w:after="20"/>
        <w:ind w:left="288"/>
      </w:pPr>
      <w:r>
        <w:rPr>
          <w:rFonts w:ascii="Calibri" w:hAnsi="Calibri"/>
          <w:b w:val="0"/>
          <w:color w:val="222222"/>
          <w:sz w:val="21"/>
        </w:rPr>
        <w:t>Support onboarding and training programs — coordinating scheduling, materials, and communications for incoming team members</w:t>
      </w:r>
    </w:p>
    <w:p>
      <w:pPr>
        <w:spacing w:before="0" w:after="0"/>
      </w:pPr>
    </w:p>
    <w:p>
      <w:pPr>
        <w:spacing w:before="100" w:after="20"/>
      </w:pPr>
      <w:r>
        <w:rPr>
          <w:rFonts w:ascii="Calibri" w:hAnsi="Calibri"/>
          <w:b/>
          <w:color w:val="222222"/>
          <w:sz w:val="22"/>
        </w:rPr>
        <w:t>Marketing &amp; Administrative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Managed end-to-end client relationships for multiple simultaneous accounts — serving as the primary point of contact and building long-term professional partnerships through consistent, responsive communication</w:t>
      </w:r>
    </w:p>
    <w:p>
      <w:pPr>
        <w:pStyle w:val="ListBullet"/>
        <w:spacing w:before="20" w:after="20"/>
        <w:ind w:left="288"/>
      </w:pPr>
      <w:r>
        <w:rPr>
          <w:rFonts w:ascii="Calibri" w:hAnsi="Calibri"/>
          <w:b w:val="0"/>
          <w:color w:val="222222"/>
          <w:sz w:val="21"/>
        </w:rPr>
        <w:t>Developed outreach strategies, promotional campaigns, and community engagement content for service-based clients looking to grow their local audience</w:t>
      </w:r>
    </w:p>
    <w:p>
      <w:pPr>
        <w:pStyle w:val="ListBullet"/>
        <w:spacing w:before="20" w:after="20"/>
        <w:ind w:left="288"/>
      </w:pPr>
      <w:r>
        <w:rPr>
          <w:rFonts w:ascii="Calibri" w:hAnsi="Calibri"/>
          <w:b w:val="0"/>
          <w:color w:val="222222"/>
          <w:sz w:val="21"/>
        </w:rPr>
        <w:t>Coordinated events, promotional activations, and community-facing initiatives — managing vendor relationships, scheduling, and participant communications</w:t>
      </w:r>
    </w:p>
    <w:p>
      <w:pPr>
        <w:pStyle w:val="ListBullet"/>
        <w:spacing w:before="20" w:after="20"/>
        <w:ind w:left="288"/>
      </w:pPr>
      <w:r>
        <w:rPr>
          <w:rFonts w:ascii="Calibri" w:hAnsi="Calibri"/>
          <w:b w:val="0"/>
          <w:color w:val="222222"/>
          <w:sz w:val="21"/>
        </w:rPr>
        <w:t>Prepared professional proposals, reports, and correspondence in English and Spanish — maintaining organized records and documentation across all accounts</w:t>
      </w:r>
    </w:p>
    <w:p>
      <w:pPr>
        <w:spacing w:before="0" w:after="0"/>
      </w:pPr>
    </w:p>
    <w:p>
      <w:pPr>
        <w:spacing w:before="100" w:after="20"/>
      </w:pPr>
      <w:r>
        <w:rPr>
          <w:rFonts w:ascii="Calibri" w:hAnsi="Calibri"/>
          <w:b/>
          <w:color w:val="222222"/>
          <w:sz w:val="22"/>
        </w:rPr>
        <w:t>Digital Marketing &amp; Social Media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Managed community-facing communications and outreach for a local service-based business — responding to customer inquiries, building brand presence, and supporting promotional events</w:t>
      </w:r>
    </w:p>
    <w:p>
      <w:pPr>
        <w:pStyle w:val="ListBullet"/>
        <w:spacing w:before="20" w:after="20"/>
        <w:ind w:left="288"/>
      </w:pPr>
      <w:r>
        <w:rPr>
          <w:rFonts w:ascii="Calibri" w:hAnsi="Calibri"/>
          <w:b w:val="0"/>
          <w:color w:val="222222"/>
          <w:sz w:val="21"/>
        </w:rPr>
        <w:t>Coordinated digital outreach campaigns aligned with local community events and business objectives</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November 2024</w:t>
      </w:r>
    </w:p>
    <w:p>
      <w:pPr>
        <w:pStyle w:val="ListBullet"/>
        <w:spacing w:before="20" w:after="20"/>
        <w:ind w:left="288"/>
      </w:pPr>
      <w:r>
        <w:rPr>
          <w:rFonts w:ascii="Calibri" w:hAnsi="Calibri"/>
          <w:b w:val="0"/>
          <w:color w:val="222222"/>
          <w:sz w:val="21"/>
        </w:rPr>
        <w:t>Maintained organized records, data accuracy, and consistent performance in a high-volume, deadline-driven environment</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Coordinated administrative and communications functions for institutional offices — managing scheduling, participant communications, and event logistics</w:t>
      </w:r>
    </w:p>
    <w:p>
      <w:pPr>
        <w:pStyle w:val="ListBullet"/>
        <w:spacing w:before="20" w:after="20"/>
        <w:ind w:left="288"/>
      </w:pPr>
      <w:r>
        <w:rPr>
          <w:rFonts w:ascii="Calibri" w:hAnsi="Calibri"/>
          <w:b w:val="0"/>
          <w:color w:val="222222"/>
          <w:sz w:val="21"/>
        </w:rPr>
        <w:t>Organized and executed campus-wide events with multi-department coordination</w:t>
      </w:r>
    </w:p>
    <w:p>
      <w:pPr>
        <w:pStyle w:val="ListBullet"/>
        <w:spacing w:before="20" w:after="20"/>
        <w:ind w:left="288"/>
      </w:pPr>
      <w:r>
        <w:rPr>
          <w:rFonts w:ascii="Calibri" w:hAnsi="Calibri"/>
          <w:b w:val="0"/>
          <w:color w:val="222222"/>
          <w:sz w:val="21"/>
        </w:rPr>
        <w:t>Coursework in public relations, organizational communications, and community engagement strategy</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 written and verbal, daily corporate use</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bilingual outreach, translation, community engagement, and relationship management for Spanish-speaking communities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TECHNICAL SKILLS</w:t>
      </w:r>
    </w:p>
    <w:p>
      <w:pPr>
        <w:spacing w:before="0" w:after="0"/>
      </w:pPr>
    </w:p>
    <w:p>
      <w:pPr>
        <w:spacing w:before="20" w:after="60"/>
      </w:pPr>
      <w:r>
        <w:rPr>
          <w:rFonts w:ascii="Calibri" w:hAnsi="Calibri"/>
          <w:b w:val="0"/>
          <w:color w:val="222222"/>
          <w:sz w:val="21"/>
        </w:rPr>
        <w:t>Microsoft Word · Microsoft Excel · Microsoft PowerPoint · Microsoft Outlook · Google Docs · Google Sheets · Google Drive · Gmail · Google Calendar · Canva · Data Entry · CRM Platforms · Email Marketing · Social Media Platforms · Event Coordination</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p>
      <w:pPr>
        <w:spacing w:before="0" w:after="40"/>
      </w:pPr>
      <w:r>
        <w:rPr>
          <w:rFonts w:ascii="Calibri" w:hAnsi="Calibri"/>
          <w:b w:val="0"/>
          <w:i/>
          <w:color w:val="555555"/>
          <w:sz w:val="20"/>
        </w:rPr>
        <w:t>Available for full-time placement — immediate start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