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Associate, B2C Marketing Operations &amp; Strategy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DailyPay | 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19,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DailyPay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Associate, B2C Marketing Operations &amp; Strategy position at DailyPay. The combination of marketing operations discipline and B2C strategy focus in this role maps directly to how I've been working — coordinating campaigns, managing cross-channel marketing activity, and building the operational systems that make marketing actually move.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DailyPay's product sits at an intersection I understand well: reaching everyday working people with a message that's practical, timely, and directly relevant to their financial lives. That's B2C marketing with real stakes, and I find that kind of purposeful work compelling.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Here's what I bring: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operations:</w:t>
      </w:r>
      <w:r>
        <w:rPr>
          <w:rFonts w:ascii="Calibri" w:hAnsi="Calibri"/>
          <w:b w:val="0"/>
          <w:color w:val="222222"/>
          <w:sz w:val="21"/>
        </w:rPr>
        <w:t xml:space="preserve"> I've built and managed the operational infrastructure behind marketing campaigns — content calendars, asset management, launch timelines, cross-functional coordination — ensuring that strategy doesn't just live in decks but gets executed on schedule.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Campaign coordination:</w:t>
      </w:r>
      <w:r>
        <w:rPr>
          <w:rFonts w:ascii="Calibri" w:hAnsi="Calibri"/>
          <w:b w:val="0"/>
          <w:color w:val="222222"/>
          <w:sz w:val="21"/>
        </w:rPr>
        <w:t xml:space="preserve"> Across five years of multi-client consulting, I coordinated concurrent campaigns across social, digital, and event channels, managing deliverables, tracking performance, and reporting results to stakeholders.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B2C focus:</w:t>
      </w:r>
      <w:r>
        <w:rPr>
          <w:rFonts w:ascii="Calibri" w:hAnsi="Calibri"/>
          <w:b w:val="0"/>
          <w:color w:val="222222"/>
          <w:sz w:val="21"/>
        </w:rPr>
        <w:t xml:space="preserve"> My experience is predominantly B2C — creating content and coordinating marketing activities aimed at building consumer awareness, engagement, and conversion.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reach:</w:t>
      </w:r>
      <w:r>
        <w:rPr>
          <w:rFonts w:ascii="Calibri" w:hAnsi="Calibri"/>
          <w:b w:val="0"/>
          <w:color w:val="222222"/>
          <w:sz w:val="21"/>
        </w:rPr>
        <w:t xml:space="preserve"> I create and coordinate marketing content in both English and Spanish, which is a meaningful advantage for any B2C brand trying to reach Hispanic consumers.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 remote-ready professional with a structured, independent work style and a genuine interest in operations that make marketing run better. I'd welcome the chance to bring that to DailyPay.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