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marketing coordinator with hands-on experience in social media management, content production, and multi-channel campaign coordination. Brings a strong creative eye, organizational discipline, and deep familiarity with service brand marketing. Experienced translating brand identity into consistent, engaging content across platforms — and coordinating the moving parts that make campaigns execute on time. Dublin, OH based.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· Content Strategy &amp; Production · Editorial Calendar Management · Brand Voice Development · Canva · Adobe Creative Suite · Campaign Coordination · Marketing Collateral Production · Email Marketing · Client &amp; Team Communication · Analytics &amp; Reporting · Google Workspace · Video &amp; Photo Content · AI Content Tools (ChatGPT)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workflow and communications between departments in a complex, fast-paced operational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deliver bilingual training materials, process documentation, and instructional content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multiple concurrent projects under tight deadlines — production schedules, reporting, and cross-team coordination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Build strong working relationships across teams through clear, consistent communication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managed social media strategies for multiple service-based clients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branded content: graphics, Reels, Stories, promotional videos, and copy — aligned to each client's brand voice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editorial calendars, posting cadence, and engagement across Instagram, Facebook, TikTok, and LinkedIn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campaigns for events: creative assets, social promotion, on-site content capture, post-campaign reporting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client communication and delivered projects within agreed timelines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all corporate social media channels and developed a cohesive content strategy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presentations, promotional materials, and advertising campaigns from concept to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 between clients, suppliers, and internal teams to ensure alignment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new client acquisition through targeted digital marketing and content outreach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and reported on social media performance metrics to guide ongoing strategy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inventory and operations in a high-volume retail merchandising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Provided training and procedural support to new team members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for university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Led marketing and promotional efforts for semester-end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 of secondary institutional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(spoken, written, professional)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working proficiency (spoken, written, daily use)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ADDITIONAL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Short-Form Video Production · Trend Identification · Community Engagement · Event Promotion · Marketing Collateral Design · Proposal Writing · Brand Consistency · Scheduling Tools (Later, Buffer, Hootsuite)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